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0F7" w:rsidRPr="00615304" w:rsidRDefault="007160F7" w:rsidP="007160F7">
      <w:pPr>
        <w:jc w:val="center"/>
        <w:rPr>
          <w:b/>
          <w:sz w:val="28"/>
          <w:szCs w:val="28"/>
        </w:rPr>
      </w:pPr>
      <w:r w:rsidRPr="00615304">
        <w:rPr>
          <w:b/>
          <w:sz w:val="28"/>
          <w:szCs w:val="28"/>
        </w:rPr>
        <w:t>СЛУЖБА ПО ТАРИФАМ АСТРАХАНСКОЙ ОБЛАСТИ</w:t>
      </w:r>
    </w:p>
    <w:p w:rsidR="007160F7" w:rsidRPr="00615304" w:rsidRDefault="007160F7" w:rsidP="007160F7">
      <w:pPr>
        <w:jc w:val="center"/>
        <w:rPr>
          <w:sz w:val="28"/>
          <w:szCs w:val="28"/>
        </w:rPr>
      </w:pPr>
    </w:p>
    <w:p w:rsidR="007160F7" w:rsidRPr="00615304" w:rsidRDefault="007160F7" w:rsidP="007160F7">
      <w:pPr>
        <w:jc w:val="center"/>
        <w:rPr>
          <w:b/>
          <w:sz w:val="28"/>
          <w:szCs w:val="28"/>
        </w:rPr>
      </w:pPr>
      <w:r w:rsidRPr="00615304">
        <w:rPr>
          <w:b/>
          <w:sz w:val="28"/>
          <w:szCs w:val="28"/>
        </w:rPr>
        <w:t>ПРОТОКОЛ</w:t>
      </w:r>
    </w:p>
    <w:p w:rsidR="007160F7" w:rsidRPr="00615304" w:rsidRDefault="007160F7" w:rsidP="007160F7">
      <w:pPr>
        <w:jc w:val="center"/>
        <w:rPr>
          <w:b/>
          <w:sz w:val="28"/>
          <w:szCs w:val="28"/>
        </w:rPr>
      </w:pPr>
    </w:p>
    <w:p w:rsidR="007160F7" w:rsidRPr="00615304" w:rsidRDefault="007160F7" w:rsidP="007160F7">
      <w:pPr>
        <w:jc w:val="center"/>
        <w:rPr>
          <w:b/>
          <w:sz w:val="28"/>
          <w:szCs w:val="28"/>
        </w:rPr>
      </w:pPr>
      <w:r w:rsidRPr="00615304">
        <w:rPr>
          <w:b/>
          <w:sz w:val="28"/>
          <w:szCs w:val="28"/>
        </w:rPr>
        <w:t>г. Астрахань</w:t>
      </w:r>
    </w:p>
    <w:p w:rsidR="007160F7" w:rsidRPr="00615304" w:rsidRDefault="007160F7" w:rsidP="007160F7">
      <w:pPr>
        <w:jc w:val="center"/>
        <w:rPr>
          <w:sz w:val="28"/>
          <w:szCs w:val="28"/>
        </w:rPr>
      </w:pPr>
    </w:p>
    <w:p w:rsidR="007160F7" w:rsidRPr="00615304" w:rsidRDefault="007160F7" w:rsidP="007160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 w:rsidR="00E24FFC">
        <w:rPr>
          <w:b/>
          <w:sz w:val="28"/>
          <w:szCs w:val="28"/>
        </w:rPr>
        <w:t>3</w:t>
      </w:r>
      <w:r w:rsidRPr="00615304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>1</w:t>
      </w:r>
      <w:r w:rsidRPr="00615304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20</w:t>
      </w:r>
      <w:r w:rsidRPr="00615304">
        <w:rPr>
          <w:b/>
          <w:sz w:val="28"/>
          <w:szCs w:val="28"/>
        </w:rPr>
        <w:t xml:space="preserve">                                                                                                  № </w:t>
      </w:r>
      <w:r w:rsidR="004A7E3E">
        <w:rPr>
          <w:b/>
          <w:sz w:val="28"/>
          <w:szCs w:val="28"/>
        </w:rPr>
        <w:t>56</w:t>
      </w:r>
    </w:p>
    <w:p w:rsidR="007160F7" w:rsidRPr="00615304" w:rsidRDefault="007160F7" w:rsidP="007160F7">
      <w:pPr>
        <w:rPr>
          <w:b/>
          <w:sz w:val="28"/>
          <w:szCs w:val="28"/>
        </w:rPr>
      </w:pPr>
      <w:r w:rsidRPr="00615304">
        <w:rPr>
          <w:b/>
          <w:sz w:val="28"/>
          <w:szCs w:val="28"/>
        </w:rPr>
        <w:t>заседания коллегии</w:t>
      </w:r>
    </w:p>
    <w:p w:rsidR="007160F7" w:rsidRPr="00615304" w:rsidRDefault="007160F7" w:rsidP="007160F7">
      <w:pPr>
        <w:rPr>
          <w:b/>
          <w:sz w:val="28"/>
          <w:szCs w:val="28"/>
        </w:rPr>
      </w:pPr>
      <w:r w:rsidRPr="00615304">
        <w:rPr>
          <w:b/>
          <w:sz w:val="28"/>
          <w:szCs w:val="28"/>
        </w:rPr>
        <w:t>службы по тарифам Астраханской области</w:t>
      </w:r>
    </w:p>
    <w:p w:rsidR="007160F7" w:rsidRDefault="007160F7" w:rsidP="007160F7">
      <w:pPr>
        <w:rPr>
          <w:b/>
          <w:sz w:val="27"/>
          <w:szCs w:val="27"/>
        </w:rPr>
      </w:pPr>
    </w:p>
    <w:p w:rsidR="007160F7" w:rsidRPr="0043129B" w:rsidRDefault="007160F7" w:rsidP="007160F7">
      <w:pPr>
        <w:rPr>
          <w:sz w:val="27"/>
          <w:szCs w:val="27"/>
        </w:rPr>
      </w:pPr>
      <w:r w:rsidRPr="0043129B">
        <w:rPr>
          <w:b/>
          <w:sz w:val="27"/>
          <w:szCs w:val="27"/>
        </w:rPr>
        <w:t xml:space="preserve">Председатель </w:t>
      </w:r>
      <w:r w:rsidRPr="0043129B">
        <w:rPr>
          <w:sz w:val="27"/>
          <w:szCs w:val="27"/>
        </w:rPr>
        <w:t xml:space="preserve">– </w:t>
      </w:r>
      <w:r>
        <w:rPr>
          <w:sz w:val="27"/>
          <w:szCs w:val="27"/>
        </w:rPr>
        <w:t>О.В. Степанищева</w:t>
      </w:r>
    </w:p>
    <w:p w:rsidR="007160F7" w:rsidRPr="0043129B" w:rsidRDefault="007160F7" w:rsidP="007160F7">
      <w:pPr>
        <w:rPr>
          <w:sz w:val="27"/>
          <w:szCs w:val="27"/>
        </w:rPr>
      </w:pPr>
    </w:p>
    <w:p w:rsidR="007160F7" w:rsidRPr="0043129B" w:rsidRDefault="007160F7" w:rsidP="007160F7">
      <w:pPr>
        <w:rPr>
          <w:sz w:val="27"/>
          <w:szCs w:val="27"/>
        </w:rPr>
      </w:pPr>
      <w:r w:rsidRPr="0043129B">
        <w:rPr>
          <w:b/>
          <w:sz w:val="27"/>
          <w:szCs w:val="27"/>
        </w:rPr>
        <w:t>Заместитель председателя</w:t>
      </w:r>
      <w:r w:rsidRPr="0043129B">
        <w:rPr>
          <w:sz w:val="27"/>
          <w:szCs w:val="27"/>
        </w:rPr>
        <w:t xml:space="preserve"> – </w:t>
      </w:r>
      <w:r>
        <w:rPr>
          <w:sz w:val="27"/>
          <w:szCs w:val="27"/>
        </w:rPr>
        <w:t>А.А. Свиридов</w:t>
      </w:r>
    </w:p>
    <w:p w:rsidR="007160F7" w:rsidRDefault="007160F7" w:rsidP="007160F7">
      <w:pPr>
        <w:rPr>
          <w:b/>
          <w:sz w:val="28"/>
          <w:szCs w:val="28"/>
        </w:rPr>
      </w:pPr>
    </w:p>
    <w:p w:rsidR="007160F7" w:rsidRPr="00615304" w:rsidRDefault="007160F7" w:rsidP="007160F7">
      <w:pPr>
        <w:rPr>
          <w:sz w:val="28"/>
          <w:szCs w:val="28"/>
        </w:rPr>
      </w:pPr>
      <w:r w:rsidRPr="00615304">
        <w:rPr>
          <w:b/>
          <w:sz w:val="28"/>
          <w:szCs w:val="28"/>
        </w:rPr>
        <w:t>Секретарь</w:t>
      </w:r>
      <w:r w:rsidRPr="00615304">
        <w:rPr>
          <w:sz w:val="28"/>
          <w:szCs w:val="28"/>
        </w:rPr>
        <w:t xml:space="preserve"> </w:t>
      </w:r>
      <w:r w:rsidRPr="00615304">
        <w:rPr>
          <w:b/>
          <w:sz w:val="28"/>
          <w:szCs w:val="28"/>
        </w:rPr>
        <w:t>–</w:t>
      </w:r>
      <w:r w:rsidRPr="00615304">
        <w:rPr>
          <w:sz w:val="28"/>
          <w:szCs w:val="28"/>
        </w:rPr>
        <w:t xml:space="preserve"> </w:t>
      </w:r>
      <w:r>
        <w:rPr>
          <w:sz w:val="28"/>
          <w:szCs w:val="28"/>
        </w:rPr>
        <w:t>Н.Н. Абъятанова</w:t>
      </w:r>
    </w:p>
    <w:p w:rsidR="007160F7" w:rsidRPr="00615304" w:rsidRDefault="007160F7" w:rsidP="007160F7">
      <w:pPr>
        <w:rPr>
          <w:sz w:val="28"/>
          <w:szCs w:val="28"/>
        </w:rPr>
      </w:pPr>
    </w:p>
    <w:p w:rsidR="007160F7" w:rsidRPr="00615304" w:rsidRDefault="007160F7" w:rsidP="007160F7">
      <w:pPr>
        <w:jc w:val="both"/>
        <w:rPr>
          <w:sz w:val="28"/>
          <w:szCs w:val="28"/>
        </w:rPr>
      </w:pPr>
      <w:r w:rsidRPr="00615304">
        <w:rPr>
          <w:b/>
          <w:sz w:val="28"/>
          <w:szCs w:val="28"/>
        </w:rPr>
        <w:t>Присутствовали:</w:t>
      </w:r>
      <w:r w:rsidRPr="006153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Д.В. Луковников, </w:t>
      </w:r>
      <w:r w:rsidRPr="00615304">
        <w:rPr>
          <w:sz w:val="28"/>
          <w:szCs w:val="28"/>
        </w:rPr>
        <w:t>О.А. Бронникова, И.А. Иванов</w:t>
      </w:r>
      <w:r>
        <w:rPr>
          <w:sz w:val="28"/>
          <w:szCs w:val="28"/>
        </w:rPr>
        <w:t>, Н.</w:t>
      </w:r>
      <w:r w:rsidR="004149CB">
        <w:rPr>
          <w:sz w:val="28"/>
          <w:szCs w:val="28"/>
        </w:rPr>
        <w:t>И</w:t>
      </w:r>
      <w:r>
        <w:rPr>
          <w:sz w:val="28"/>
          <w:szCs w:val="28"/>
        </w:rPr>
        <w:t>. Чунакова</w:t>
      </w:r>
      <w:r w:rsidRPr="00615304">
        <w:rPr>
          <w:sz w:val="28"/>
          <w:szCs w:val="28"/>
        </w:rPr>
        <w:t>.</w:t>
      </w:r>
    </w:p>
    <w:p w:rsidR="007160F7" w:rsidRPr="00615304" w:rsidRDefault="007160F7" w:rsidP="007160F7">
      <w:pPr>
        <w:suppressAutoHyphens/>
        <w:jc w:val="both"/>
        <w:rPr>
          <w:sz w:val="28"/>
          <w:szCs w:val="28"/>
        </w:rPr>
      </w:pPr>
    </w:p>
    <w:p w:rsidR="007160F7" w:rsidRPr="00615304" w:rsidRDefault="007160F7" w:rsidP="007160F7">
      <w:pPr>
        <w:rPr>
          <w:b/>
          <w:sz w:val="28"/>
          <w:szCs w:val="28"/>
        </w:rPr>
      </w:pPr>
      <w:r w:rsidRPr="00615304">
        <w:rPr>
          <w:b/>
          <w:sz w:val="28"/>
          <w:szCs w:val="28"/>
        </w:rPr>
        <w:t>Приглашенные:</w:t>
      </w:r>
    </w:p>
    <w:p w:rsidR="007160F7" w:rsidRPr="00DF69A7" w:rsidRDefault="007160F7" w:rsidP="007160F7">
      <w:pPr>
        <w:ind w:right="-81" w:firstLine="851"/>
        <w:jc w:val="both"/>
        <w:rPr>
          <w:sz w:val="28"/>
          <w:szCs w:val="28"/>
        </w:rPr>
      </w:pPr>
      <w:r w:rsidRPr="00DF69A7">
        <w:rPr>
          <w:sz w:val="28"/>
          <w:szCs w:val="28"/>
        </w:rPr>
        <w:t>Икенов Раиль Радикович – начальник отдела контроля и регулирования тарифов в сфере поставок тепловой энергии службы по тарифам Астраханской области;</w:t>
      </w:r>
    </w:p>
    <w:p w:rsidR="007160F7" w:rsidRPr="00DF69A7" w:rsidRDefault="007160F7" w:rsidP="007160F7">
      <w:pPr>
        <w:ind w:right="-81" w:firstLine="851"/>
        <w:jc w:val="both"/>
        <w:rPr>
          <w:sz w:val="28"/>
          <w:szCs w:val="28"/>
        </w:rPr>
      </w:pPr>
      <w:r w:rsidRPr="00DF69A7">
        <w:rPr>
          <w:sz w:val="28"/>
          <w:szCs w:val="28"/>
        </w:rPr>
        <w:t>Оленина Екатерина Владимировна – заместитель начальника отдела контроля и регулирования тарифов в сфере поставок тепловой энергии службы по тарифам Астраханской области;</w:t>
      </w:r>
    </w:p>
    <w:p w:rsidR="004A7E3E" w:rsidRPr="0041334B" w:rsidRDefault="004A7E3E" w:rsidP="004A7E3E">
      <w:pPr>
        <w:ind w:right="-81" w:firstLine="851"/>
        <w:jc w:val="both"/>
        <w:rPr>
          <w:sz w:val="28"/>
          <w:szCs w:val="28"/>
        </w:rPr>
      </w:pPr>
      <w:r w:rsidRPr="0041334B">
        <w:rPr>
          <w:sz w:val="28"/>
          <w:szCs w:val="28"/>
        </w:rPr>
        <w:t xml:space="preserve">Мигин Владимир Николаевич – </w:t>
      </w:r>
      <w:r>
        <w:rPr>
          <w:sz w:val="28"/>
          <w:szCs w:val="28"/>
        </w:rPr>
        <w:t xml:space="preserve">и.о. </w:t>
      </w:r>
      <w:r w:rsidRPr="0041334B">
        <w:rPr>
          <w:sz w:val="28"/>
          <w:szCs w:val="28"/>
        </w:rPr>
        <w:t>директор</w:t>
      </w:r>
      <w:r>
        <w:rPr>
          <w:sz w:val="28"/>
          <w:szCs w:val="28"/>
        </w:rPr>
        <w:t>а</w:t>
      </w:r>
      <w:r w:rsidRPr="0041334B">
        <w:rPr>
          <w:sz w:val="28"/>
          <w:szCs w:val="28"/>
        </w:rPr>
        <w:t xml:space="preserve"> </w:t>
      </w:r>
      <w:r>
        <w:rPr>
          <w:sz w:val="28"/>
          <w:szCs w:val="28"/>
        </w:rPr>
        <w:t>МУП г. Астрахани «Коммунэнерго»;</w:t>
      </w:r>
    </w:p>
    <w:p w:rsidR="004A7E3E" w:rsidRPr="00DF69A7" w:rsidRDefault="004A7E3E" w:rsidP="004A7E3E">
      <w:pPr>
        <w:ind w:right="-81" w:firstLine="851"/>
        <w:jc w:val="both"/>
        <w:rPr>
          <w:color w:val="000000"/>
          <w:sz w:val="28"/>
          <w:szCs w:val="28"/>
        </w:rPr>
      </w:pPr>
      <w:r w:rsidRPr="003C67FA">
        <w:rPr>
          <w:sz w:val="28"/>
          <w:szCs w:val="28"/>
        </w:rPr>
        <w:t>Можина Анастасия Александровна– заместитель директора по экономике и реализации услуг МУП г. Астрахани «Коммунэнерго»</w:t>
      </w:r>
      <w:r w:rsidRPr="003C67FA">
        <w:rPr>
          <w:color w:val="000000"/>
          <w:sz w:val="28"/>
          <w:szCs w:val="28"/>
        </w:rPr>
        <w:t>.</w:t>
      </w:r>
    </w:p>
    <w:p w:rsidR="00073ED6" w:rsidRPr="00615304" w:rsidRDefault="00073ED6" w:rsidP="00073ED6">
      <w:pPr>
        <w:ind w:right="-81" w:firstLine="851"/>
        <w:jc w:val="both"/>
        <w:rPr>
          <w:sz w:val="28"/>
          <w:szCs w:val="28"/>
        </w:rPr>
      </w:pPr>
    </w:p>
    <w:p w:rsidR="004F0F1F" w:rsidRPr="00615304" w:rsidRDefault="004F0F1F" w:rsidP="004F0F1F">
      <w:pPr>
        <w:jc w:val="both"/>
        <w:rPr>
          <w:b/>
          <w:sz w:val="28"/>
          <w:szCs w:val="28"/>
        </w:rPr>
      </w:pPr>
      <w:r w:rsidRPr="00615304">
        <w:rPr>
          <w:b/>
          <w:sz w:val="28"/>
          <w:szCs w:val="28"/>
        </w:rPr>
        <w:t>ПОВЕСТКА ДНЯ:</w:t>
      </w:r>
    </w:p>
    <w:p w:rsidR="00AC447D" w:rsidRPr="00615304" w:rsidRDefault="00AC447D" w:rsidP="00AC447D">
      <w:pPr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 xml:space="preserve">Рассмотрение дела об установлении (корректировке) </w:t>
      </w:r>
      <w:r w:rsidR="004F7C23" w:rsidRPr="00615304">
        <w:rPr>
          <w:sz w:val="28"/>
          <w:szCs w:val="28"/>
        </w:rPr>
        <w:t>МУП г. Астрахани «Коммунэнерго» (ОГРН 1023000828861)</w:t>
      </w:r>
      <w:r w:rsidR="004F7C23">
        <w:rPr>
          <w:sz w:val="28"/>
          <w:szCs w:val="28"/>
        </w:rPr>
        <w:t xml:space="preserve"> </w:t>
      </w:r>
      <w:r w:rsidRPr="00615304">
        <w:rPr>
          <w:sz w:val="28"/>
          <w:szCs w:val="28"/>
        </w:rPr>
        <w:t xml:space="preserve">тарифов на </w:t>
      </w:r>
      <w:r w:rsidR="004F7C23">
        <w:rPr>
          <w:sz w:val="28"/>
          <w:szCs w:val="28"/>
        </w:rPr>
        <w:t>услуги по передаче тепло</w:t>
      </w:r>
      <w:r w:rsidR="00B07C21">
        <w:rPr>
          <w:sz w:val="28"/>
          <w:szCs w:val="28"/>
        </w:rPr>
        <w:t>вой энергии,</w:t>
      </w:r>
      <w:r w:rsidR="004F7C23">
        <w:rPr>
          <w:sz w:val="28"/>
          <w:szCs w:val="28"/>
        </w:rPr>
        <w:t xml:space="preserve"> теплоносителя </w:t>
      </w:r>
      <w:r w:rsidRPr="00615304">
        <w:rPr>
          <w:sz w:val="28"/>
          <w:szCs w:val="28"/>
        </w:rPr>
        <w:t xml:space="preserve">(приказ службы по тарифам Астраханской области от </w:t>
      </w:r>
      <w:r w:rsidR="007160F7">
        <w:rPr>
          <w:sz w:val="28"/>
          <w:szCs w:val="28"/>
        </w:rPr>
        <w:t>14</w:t>
      </w:r>
      <w:r w:rsidRPr="00615304">
        <w:rPr>
          <w:sz w:val="28"/>
          <w:szCs w:val="28"/>
        </w:rPr>
        <w:t>.05.20</w:t>
      </w:r>
      <w:r w:rsidR="007160F7">
        <w:rPr>
          <w:sz w:val="28"/>
          <w:szCs w:val="28"/>
        </w:rPr>
        <w:t>20</w:t>
      </w:r>
      <w:r w:rsidRPr="00615304">
        <w:rPr>
          <w:sz w:val="28"/>
          <w:szCs w:val="28"/>
        </w:rPr>
        <w:t xml:space="preserve"> </w:t>
      </w:r>
      <w:r w:rsidR="007160F7">
        <w:rPr>
          <w:sz w:val="28"/>
          <w:szCs w:val="28"/>
        </w:rPr>
        <w:t>№ 93</w:t>
      </w:r>
      <w:r w:rsidRPr="00615304">
        <w:rPr>
          <w:sz w:val="28"/>
          <w:szCs w:val="28"/>
        </w:rPr>
        <w:t>).</w:t>
      </w:r>
      <w:bookmarkStart w:id="0" w:name="_GoBack"/>
      <w:bookmarkEnd w:id="0"/>
    </w:p>
    <w:p w:rsidR="00AC447D" w:rsidRPr="00615304" w:rsidRDefault="00AC447D" w:rsidP="00AC447D">
      <w:pPr>
        <w:tabs>
          <w:tab w:val="left" w:pos="9214"/>
        </w:tabs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>Доклад уполномоченного по делу – заместителя начальника отдела контроля и регулирования тарифов в сфере поставок тепловой энергии службы по тарифам Астраханской области</w:t>
      </w:r>
      <w:r w:rsidRPr="00615304">
        <w:rPr>
          <w:color w:val="000000"/>
          <w:sz w:val="28"/>
          <w:szCs w:val="28"/>
        </w:rPr>
        <w:t xml:space="preserve"> </w:t>
      </w:r>
      <w:r w:rsidRPr="00615304">
        <w:rPr>
          <w:sz w:val="28"/>
          <w:szCs w:val="28"/>
        </w:rPr>
        <w:t>Олениной Екатерины Владимировны</w:t>
      </w:r>
      <w:r w:rsidRPr="00615304">
        <w:rPr>
          <w:color w:val="000000"/>
          <w:sz w:val="28"/>
          <w:szCs w:val="28"/>
        </w:rPr>
        <w:t>.</w:t>
      </w:r>
    </w:p>
    <w:p w:rsidR="00AC447D" w:rsidRPr="00615304" w:rsidRDefault="00AC447D" w:rsidP="004F0F1F">
      <w:pPr>
        <w:jc w:val="both"/>
        <w:rPr>
          <w:b/>
          <w:sz w:val="28"/>
          <w:szCs w:val="28"/>
        </w:rPr>
      </w:pPr>
    </w:p>
    <w:p w:rsidR="004F0F1F" w:rsidRPr="00615304" w:rsidRDefault="004F0F1F" w:rsidP="004F0F1F">
      <w:pPr>
        <w:jc w:val="both"/>
        <w:rPr>
          <w:b/>
          <w:sz w:val="28"/>
          <w:szCs w:val="28"/>
        </w:rPr>
      </w:pPr>
      <w:r w:rsidRPr="00615304">
        <w:rPr>
          <w:b/>
          <w:sz w:val="28"/>
          <w:szCs w:val="28"/>
        </w:rPr>
        <w:t>СЛУШАЛИ:</w:t>
      </w:r>
    </w:p>
    <w:p w:rsidR="004F0F1F" w:rsidRPr="00615304" w:rsidRDefault="004D52D0" w:rsidP="004F0F1F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615304">
        <w:rPr>
          <w:b/>
          <w:sz w:val="28"/>
          <w:szCs w:val="28"/>
        </w:rPr>
        <w:t>Оленину Е.В.</w:t>
      </w:r>
      <w:r w:rsidR="004F0F1F" w:rsidRPr="00615304">
        <w:rPr>
          <w:b/>
          <w:sz w:val="28"/>
          <w:szCs w:val="28"/>
        </w:rPr>
        <w:t>:</w:t>
      </w:r>
      <w:r w:rsidR="004F0F1F" w:rsidRPr="00615304">
        <w:rPr>
          <w:sz w:val="28"/>
          <w:szCs w:val="28"/>
        </w:rPr>
        <w:t xml:space="preserve"> «В службу по тарифам Астраханской области поступил</w:t>
      </w:r>
      <w:r w:rsidRPr="00615304">
        <w:rPr>
          <w:sz w:val="28"/>
          <w:szCs w:val="28"/>
        </w:rPr>
        <w:t>о</w:t>
      </w:r>
      <w:r w:rsidR="004F0F1F" w:rsidRPr="00615304">
        <w:rPr>
          <w:sz w:val="28"/>
          <w:szCs w:val="28"/>
        </w:rPr>
        <w:t xml:space="preserve"> предложени</w:t>
      </w:r>
      <w:r w:rsidR="00CF0E5E" w:rsidRPr="00615304">
        <w:rPr>
          <w:sz w:val="28"/>
          <w:szCs w:val="28"/>
        </w:rPr>
        <w:t>е</w:t>
      </w:r>
      <w:r w:rsidR="004F0F1F" w:rsidRPr="00615304">
        <w:rPr>
          <w:sz w:val="28"/>
          <w:szCs w:val="28"/>
        </w:rPr>
        <w:t xml:space="preserve"> </w:t>
      </w:r>
      <w:r w:rsidR="004F0F1F" w:rsidRPr="00615304">
        <w:rPr>
          <w:color w:val="000000"/>
          <w:spacing w:val="-5"/>
          <w:sz w:val="28"/>
          <w:szCs w:val="28"/>
        </w:rPr>
        <w:t>МУП г. Астрахани «Коммунэнерго» (ОГРН 1023000828861)</w:t>
      </w:r>
      <w:r w:rsidR="004F0F1F" w:rsidRPr="00615304">
        <w:rPr>
          <w:sz w:val="28"/>
          <w:szCs w:val="28"/>
        </w:rPr>
        <w:t xml:space="preserve"> об установлении </w:t>
      </w:r>
      <w:r w:rsidRPr="00615304">
        <w:rPr>
          <w:sz w:val="28"/>
          <w:szCs w:val="28"/>
        </w:rPr>
        <w:t xml:space="preserve">(корректировке) </w:t>
      </w:r>
      <w:r w:rsidR="004F0F1F" w:rsidRPr="00615304">
        <w:rPr>
          <w:sz w:val="28"/>
          <w:szCs w:val="28"/>
        </w:rPr>
        <w:t xml:space="preserve">тарифов </w:t>
      </w:r>
      <w:r w:rsidR="00057D67" w:rsidRPr="00615304">
        <w:rPr>
          <w:sz w:val="28"/>
          <w:szCs w:val="28"/>
        </w:rPr>
        <w:t xml:space="preserve">на </w:t>
      </w:r>
      <w:r w:rsidR="004F7C23">
        <w:rPr>
          <w:sz w:val="28"/>
          <w:szCs w:val="28"/>
        </w:rPr>
        <w:t>услу</w:t>
      </w:r>
      <w:r w:rsidR="00B07C21">
        <w:rPr>
          <w:sz w:val="28"/>
          <w:szCs w:val="28"/>
        </w:rPr>
        <w:t>ги по передаче тепловой энергии,</w:t>
      </w:r>
      <w:r w:rsidR="004F7C23">
        <w:rPr>
          <w:sz w:val="28"/>
          <w:szCs w:val="28"/>
        </w:rPr>
        <w:t xml:space="preserve"> теплоносителя</w:t>
      </w:r>
      <w:r w:rsidR="00057D67" w:rsidRPr="00615304">
        <w:rPr>
          <w:sz w:val="28"/>
          <w:szCs w:val="28"/>
        </w:rPr>
        <w:t xml:space="preserve"> </w:t>
      </w:r>
      <w:r w:rsidRPr="00615304">
        <w:rPr>
          <w:sz w:val="28"/>
          <w:szCs w:val="28"/>
        </w:rPr>
        <w:t>на 202</w:t>
      </w:r>
      <w:r w:rsidR="007160F7">
        <w:rPr>
          <w:sz w:val="28"/>
          <w:szCs w:val="28"/>
        </w:rPr>
        <w:t>1</w:t>
      </w:r>
      <w:r w:rsidRPr="00615304">
        <w:rPr>
          <w:sz w:val="28"/>
          <w:szCs w:val="28"/>
        </w:rPr>
        <w:t xml:space="preserve"> </w:t>
      </w:r>
      <w:r w:rsidR="004F0F1F" w:rsidRPr="00615304">
        <w:rPr>
          <w:sz w:val="28"/>
          <w:szCs w:val="28"/>
        </w:rPr>
        <w:t>год</w:t>
      </w:r>
      <w:r w:rsidR="004A0935" w:rsidRPr="00615304">
        <w:rPr>
          <w:sz w:val="28"/>
          <w:szCs w:val="28"/>
        </w:rPr>
        <w:t xml:space="preserve">, установленных на основе долгосрочных параметров регулирования постановлением службы по тарифам Астраханской области от </w:t>
      </w:r>
      <w:r w:rsidR="004A0935" w:rsidRPr="00615304">
        <w:rPr>
          <w:sz w:val="28"/>
          <w:szCs w:val="28"/>
        </w:rPr>
        <w:lastRenderedPageBreak/>
        <w:t>30.11.2018 № 6</w:t>
      </w:r>
      <w:r w:rsidR="00A557E0">
        <w:rPr>
          <w:sz w:val="28"/>
          <w:szCs w:val="28"/>
        </w:rPr>
        <w:t>3</w:t>
      </w:r>
      <w:r w:rsidR="004A0935" w:rsidRPr="00615304">
        <w:rPr>
          <w:sz w:val="28"/>
          <w:szCs w:val="28"/>
        </w:rPr>
        <w:t xml:space="preserve"> «</w:t>
      </w:r>
      <w:r w:rsidR="00A557E0">
        <w:rPr>
          <w:sz w:val="28"/>
          <w:szCs w:val="28"/>
        </w:rPr>
        <w:t xml:space="preserve">Об установлении </w:t>
      </w:r>
      <w:r w:rsidR="00A557E0" w:rsidRPr="00497D41">
        <w:rPr>
          <w:sz w:val="28"/>
          <w:szCs w:val="28"/>
        </w:rPr>
        <w:t>МУП г. Астрахани «Коммунэнерго» (ОГРН 1023000828861)</w:t>
      </w:r>
      <w:r w:rsidR="00A557E0">
        <w:rPr>
          <w:sz w:val="28"/>
          <w:szCs w:val="28"/>
        </w:rPr>
        <w:t xml:space="preserve"> тарифов на услуги по передаче тепловой энергии, теплоносителя</w:t>
      </w:r>
      <w:r w:rsidR="004A0935" w:rsidRPr="00615304">
        <w:rPr>
          <w:sz w:val="28"/>
          <w:szCs w:val="28"/>
        </w:rPr>
        <w:t>»</w:t>
      </w:r>
      <w:r w:rsidR="001A12FE" w:rsidRPr="00615304">
        <w:rPr>
          <w:sz w:val="28"/>
          <w:szCs w:val="28"/>
        </w:rPr>
        <w:t xml:space="preserve"> (вх. рег. № </w:t>
      </w:r>
      <w:r w:rsidR="007160F7" w:rsidRPr="007160F7">
        <w:rPr>
          <w:sz w:val="28"/>
          <w:szCs w:val="28"/>
        </w:rPr>
        <w:t>1944 от 27.04.2020</w:t>
      </w:r>
      <w:r w:rsidR="001A12FE" w:rsidRPr="00615304">
        <w:rPr>
          <w:sz w:val="28"/>
          <w:szCs w:val="28"/>
        </w:rPr>
        <w:t>)</w:t>
      </w:r>
      <w:r w:rsidR="004F0F1F" w:rsidRPr="00615304">
        <w:rPr>
          <w:sz w:val="28"/>
          <w:szCs w:val="28"/>
        </w:rPr>
        <w:t>.</w:t>
      </w:r>
    </w:p>
    <w:p w:rsidR="004F0F1F" w:rsidRPr="00615304" w:rsidRDefault="004F0F1F" w:rsidP="004F0F1F">
      <w:pPr>
        <w:pStyle w:val="a4"/>
        <w:tabs>
          <w:tab w:val="left" w:pos="9000"/>
        </w:tabs>
        <w:spacing w:after="0"/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 xml:space="preserve">Приказом службы по тарифам Астраханской области от </w:t>
      </w:r>
      <w:r w:rsidR="004A0935" w:rsidRPr="00615304">
        <w:rPr>
          <w:sz w:val="28"/>
          <w:szCs w:val="28"/>
        </w:rPr>
        <w:t>1</w:t>
      </w:r>
      <w:r w:rsidR="007160F7">
        <w:rPr>
          <w:sz w:val="28"/>
          <w:szCs w:val="28"/>
        </w:rPr>
        <w:t>4</w:t>
      </w:r>
      <w:r w:rsidR="004A0935" w:rsidRPr="00615304">
        <w:rPr>
          <w:sz w:val="28"/>
          <w:szCs w:val="28"/>
        </w:rPr>
        <w:t>.05.20</w:t>
      </w:r>
      <w:r w:rsidR="007160F7">
        <w:rPr>
          <w:sz w:val="28"/>
          <w:szCs w:val="28"/>
        </w:rPr>
        <w:t>20</w:t>
      </w:r>
      <w:r w:rsidR="004A0935" w:rsidRPr="00615304">
        <w:rPr>
          <w:sz w:val="28"/>
          <w:szCs w:val="28"/>
        </w:rPr>
        <w:t xml:space="preserve"> № </w:t>
      </w:r>
      <w:r w:rsidR="007160F7">
        <w:rPr>
          <w:sz w:val="28"/>
          <w:szCs w:val="28"/>
        </w:rPr>
        <w:t>9</w:t>
      </w:r>
      <w:r w:rsidR="00A557E0">
        <w:rPr>
          <w:sz w:val="28"/>
          <w:szCs w:val="28"/>
        </w:rPr>
        <w:t>3</w:t>
      </w:r>
      <w:r w:rsidRPr="00615304">
        <w:rPr>
          <w:sz w:val="28"/>
          <w:szCs w:val="28"/>
        </w:rPr>
        <w:t xml:space="preserve"> открыто дело об установлении</w:t>
      </w:r>
      <w:r w:rsidR="004A0935" w:rsidRPr="00615304">
        <w:rPr>
          <w:sz w:val="28"/>
          <w:szCs w:val="28"/>
        </w:rPr>
        <w:t xml:space="preserve"> (корректировке)</w:t>
      </w:r>
      <w:r w:rsidRPr="00615304">
        <w:rPr>
          <w:sz w:val="28"/>
          <w:szCs w:val="28"/>
        </w:rPr>
        <w:t xml:space="preserve"> тарифов на</w:t>
      </w:r>
      <w:r w:rsidR="00B30A8C" w:rsidRPr="00615304">
        <w:rPr>
          <w:sz w:val="28"/>
          <w:szCs w:val="28"/>
        </w:rPr>
        <w:t xml:space="preserve"> </w:t>
      </w:r>
      <w:r w:rsidR="004F7C23">
        <w:rPr>
          <w:sz w:val="28"/>
          <w:szCs w:val="28"/>
        </w:rPr>
        <w:t>услуг</w:t>
      </w:r>
      <w:r w:rsidR="00A557E0">
        <w:rPr>
          <w:sz w:val="28"/>
          <w:szCs w:val="28"/>
        </w:rPr>
        <w:t>и по передаче тепловой энергии,</w:t>
      </w:r>
      <w:r w:rsidR="004F7C23">
        <w:rPr>
          <w:sz w:val="28"/>
          <w:szCs w:val="28"/>
        </w:rPr>
        <w:t xml:space="preserve"> теплоносителя</w:t>
      </w:r>
      <w:r w:rsidR="00B30A8C" w:rsidRPr="00615304">
        <w:rPr>
          <w:sz w:val="28"/>
          <w:szCs w:val="28"/>
        </w:rPr>
        <w:t xml:space="preserve"> МУП г. Астрахани «Коммунэнерго» (ОГРН 1023000828861)</w:t>
      </w:r>
      <w:r w:rsidRPr="00615304">
        <w:rPr>
          <w:sz w:val="28"/>
          <w:szCs w:val="28"/>
        </w:rPr>
        <w:t xml:space="preserve"> на </w:t>
      </w:r>
      <w:r w:rsidR="004A0935" w:rsidRPr="00615304">
        <w:rPr>
          <w:sz w:val="28"/>
          <w:szCs w:val="28"/>
        </w:rPr>
        <w:t>202</w:t>
      </w:r>
      <w:r w:rsidR="007160F7">
        <w:rPr>
          <w:sz w:val="28"/>
          <w:szCs w:val="28"/>
        </w:rPr>
        <w:t>1</w:t>
      </w:r>
      <w:r w:rsidR="004A0935" w:rsidRPr="00615304">
        <w:rPr>
          <w:sz w:val="28"/>
          <w:szCs w:val="28"/>
        </w:rPr>
        <w:t xml:space="preserve"> год</w:t>
      </w:r>
      <w:r w:rsidRPr="00615304">
        <w:rPr>
          <w:sz w:val="28"/>
          <w:szCs w:val="28"/>
        </w:rPr>
        <w:t>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4F0F1F" w:rsidRPr="00615304" w:rsidRDefault="004F0F1F" w:rsidP="004F0F1F">
      <w:pPr>
        <w:pStyle w:val="a4"/>
        <w:tabs>
          <w:tab w:val="left" w:pos="9781"/>
        </w:tabs>
        <w:spacing w:after="0"/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 xml:space="preserve">По представленным материалам проведена экспертиза материалов по </w:t>
      </w:r>
      <w:r w:rsidR="004A0935" w:rsidRPr="00615304">
        <w:rPr>
          <w:sz w:val="28"/>
          <w:szCs w:val="28"/>
        </w:rPr>
        <w:t>корректировке</w:t>
      </w:r>
      <w:r w:rsidRPr="00615304">
        <w:rPr>
          <w:sz w:val="28"/>
          <w:szCs w:val="28"/>
        </w:rPr>
        <w:t xml:space="preserve"> тарифов на </w:t>
      </w:r>
      <w:r w:rsidR="004F7C23">
        <w:rPr>
          <w:sz w:val="28"/>
          <w:szCs w:val="28"/>
        </w:rPr>
        <w:t>услуги по пер</w:t>
      </w:r>
      <w:r w:rsidR="00A557E0">
        <w:rPr>
          <w:sz w:val="28"/>
          <w:szCs w:val="28"/>
        </w:rPr>
        <w:t>едаче тепловой энергии,</w:t>
      </w:r>
      <w:r w:rsidR="004F7C23">
        <w:rPr>
          <w:sz w:val="28"/>
          <w:szCs w:val="28"/>
        </w:rPr>
        <w:t xml:space="preserve"> теплоносителя</w:t>
      </w:r>
      <w:r w:rsidR="00B30A8C" w:rsidRPr="00615304">
        <w:rPr>
          <w:sz w:val="28"/>
          <w:szCs w:val="28"/>
        </w:rPr>
        <w:t xml:space="preserve"> МУП г. Астрахани «Коммунэнерго» (ОГРН 1023000828861)</w:t>
      </w:r>
      <w:r w:rsidR="004A0935" w:rsidRPr="00615304">
        <w:rPr>
          <w:sz w:val="28"/>
          <w:szCs w:val="28"/>
        </w:rPr>
        <w:t xml:space="preserve"> на 202</w:t>
      </w:r>
      <w:r w:rsidR="007160F7">
        <w:rPr>
          <w:sz w:val="28"/>
          <w:szCs w:val="28"/>
        </w:rPr>
        <w:t>1</w:t>
      </w:r>
      <w:r w:rsidR="004A0935" w:rsidRPr="00615304">
        <w:rPr>
          <w:sz w:val="28"/>
          <w:szCs w:val="28"/>
        </w:rPr>
        <w:t xml:space="preserve"> год</w:t>
      </w:r>
      <w:r w:rsidRPr="00615304">
        <w:rPr>
          <w:sz w:val="28"/>
          <w:szCs w:val="28"/>
        </w:rPr>
        <w:t>.</w:t>
      </w:r>
    </w:p>
    <w:p w:rsidR="00143D6C" w:rsidRPr="00615304" w:rsidRDefault="00143D6C" w:rsidP="00143D6C">
      <w:pPr>
        <w:tabs>
          <w:tab w:val="left" w:pos="9780"/>
        </w:tabs>
        <w:ind w:firstLine="850"/>
        <w:jc w:val="both"/>
        <w:rPr>
          <w:b/>
          <w:bCs/>
          <w:sz w:val="28"/>
          <w:szCs w:val="28"/>
        </w:rPr>
      </w:pPr>
      <w:r w:rsidRPr="00615304">
        <w:rPr>
          <w:b/>
          <w:bCs/>
          <w:sz w:val="28"/>
          <w:szCs w:val="28"/>
        </w:rPr>
        <w:t xml:space="preserve">Основные плановые (расчетные) показатели на </w:t>
      </w:r>
      <w:r w:rsidR="00E53F06" w:rsidRPr="00615304">
        <w:rPr>
          <w:b/>
          <w:bCs/>
          <w:sz w:val="28"/>
          <w:szCs w:val="28"/>
        </w:rPr>
        <w:t>202</w:t>
      </w:r>
      <w:r w:rsidR="007160F7">
        <w:rPr>
          <w:b/>
          <w:bCs/>
          <w:sz w:val="28"/>
          <w:szCs w:val="28"/>
        </w:rPr>
        <w:t>1</w:t>
      </w:r>
      <w:r w:rsidR="00E53F06" w:rsidRPr="00615304">
        <w:rPr>
          <w:b/>
          <w:bCs/>
          <w:sz w:val="28"/>
          <w:szCs w:val="28"/>
        </w:rPr>
        <w:t xml:space="preserve"> год</w:t>
      </w:r>
      <w:r w:rsidRPr="00615304">
        <w:rPr>
          <w:b/>
          <w:bCs/>
          <w:sz w:val="28"/>
          <w:szCs w:val="28"/>
        </w:rPr>
        <w:t>.</w:t>
      </w:r>
    </w:p>
    <w:p w:rsidR="00143D6C" w:rsidRPr="00615304" w:rsidRDefault="00143D6C" w:rsidP="00143D6C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304">
        <w:rPr>
          <w:rFonts w:eastAsia="Calibri"/>
          <w:sz w:val="28"/>
          <w:szCs w:val="28"/>
          <w:lang w:eastAsia="en-US"/>
        </w:rPr>
        <w:t xml:space="preserve">а) </w:t>
      </w:r>
      <w:r w:rsidRPr="00615304">
        <w:rPr>
          <w:rFonts w:eastAsia="Calibri"/>
          <w:sz w:val="28"/>
          <w:szCs w:val="28"/>
          <w:u w:val="single"/>
          <w:lang w:eastAsia="en-US"/>
        </w:rPr>
        <w:t xml:space="preserve">Величина необходимой валовой выручки </w:t>
      </w:r>
      <w:r w:rsidRPr="00615304">
        <w:rPr>
          <w:color w:val="000000"/>
          <w:spacing w:val="-5"/>
          <w:sz w:val="28"/>
          <w:szCs w:val="28"/>
          <w:u w:val="single"/>
        </w:rPr>
        <w:t>МУП г. Астрахани «Коммунэнерго» (ОГРН 1023000828861)</w:t>
      </w:r>
      <w:r w:rsidR="00E53F06" w:rsidRPr="00615304">
        <w:rPr>
          <w:color w:val="000000"/>
          <w:spacing w:val="-5"/>
          <w:sz w:val="28"/>
          <w:szCs w:val="28"/>
          <w:u w:val="single"/>
        </w:rPr>
        <w:t xml:space="preserve"> (скорректированной)</w:t>
      </w:r>
      <w:r w:rsidRPr="00615304">
        <w:rPr>
          <w:spacing w:val="-5"/>
          <w:sz w:val="28"/>
          <w:szCs w:val="28"/>
          <w:u w:val="single"/>
        </w:rPr>
        <w:t xml:space="preserve">, </w:t>
      </w:r>
      <w:r w:rsidRPr="00615304">
        <w:rPr>
          <w:rFonts w:eastAsia="Calibri"/>
          <w:sz w:val="28"/>
          <w:szCs w:val="28"/>
          <w:u w:val="single"/>
          <w:lang w:eastAsia="en-US"/>
        </w:rPr>
        <w:t xml:space="preserve">использованной при расчете </w:t>
      </w:r>
      <w:r w:rsidR="00E53F06" w:rsidRPr="00615304">
        <w:rPr>
          <w:rFonts w:eastAsia="Calibri"/>
          <w:sz w:val="28"/>
          <w:szCs w:val="28"/>
          <w:u w:val="single"/>
          <w:lang w:eastAsia="en-US"/>
        </w:rPr>
        <w:t xml:space="preserve">(корректировке) </w:t>
      </w:r>
      <w:r w:rsidRPr="00615304">
        <w:rPr>
          <w:rFonts w:eastAsia="Calibri"/>
          <w:sz w:val="28"/>
          <w:szCs w:val="28"/>
          <w:u w:val="single"/>
          <w:lang w:eastAsia="en-US"/>
        </w:rPr>
        <w:t xml:space="preserve">установленных тарифов, и основные статьи расходов по регулируемым видам деятельности в соответствии с </w:t>
      </w:r>
      <w:hyperlink r:id="rId8" w:history="1">
        <w:r w:rsidRPr="00615304">
          <w:rPr>
            <w:rFonts w:eastAsia="Calibri"/>
            <w:sz w:val="28"/>
            <w:szCs w:val="28"/>
            <w:u w:val="single"/>
            <w:lang w:eastAsia="en-US"/>
          </w:rPr>
          <w:t>Основами ценообразования</w:t>
        </w:r>
      </w:hyperlink>
      <w:r w:rsidRPr="00615304">
        <w:rPr>
          <w:rFonts w:eastAsia="Calibri"/>
          <w:sz w:val="28"/>
          <w:szCs w:val="28"/>
          <w:u w:val="single"/>
          <w:lang w:eastAsia="en-US"/>
        </w:rPr>
        <w:t xml:space="preserve"> в сфере теплоснабжения, утвержденными постановлением Правительства Российской Федерации от 22.10.2012 № 1075 (далее – Основы ценообразования), а также основания, по которым отказано во включении в цены (тарифы) отдельных расходов, предложенных регулируемой организацией, с указанием таких расходов и их величины представлены в нижеприведенной таблице</w:t>
      </w:r>
      <w:r w:rsidRPr="00615304">
        <w:rPr>
          <w:rFonts w:eastAsia="Calibri"/>
          <w:sz w:val="28"/>
          <w:szCs w:val="28"/>
          <w:lang w:eastAsia="en-US"/>
        </w:rPr>
        <w:t>:</w:t>
      </w:r>
    </w:p>
    <w:p w:rsidR="00143D6C" w:rsidRPr="00615304" w:rsidRDefault="00143D6C" w:rsidP="00143D6C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  <w:r w:rsidRPr="00615304">
        <w:rPr>
          <w:sz w:val="28"/>
          <w:szCs w:val="28"/>
        </w:rPr>
        <w:t xml:space="preserve">тыс. руб. </w:t>
      </w:r>
    </w:p>
    <w:tbl>
      <w:tblPr>
        <w:tblW w:w="9781" w:type="dxa"/>
        <w:tblInd w:w="1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119"/>
        <w:gridCol w:w="1843"/>
        <w:gridCol w:w="1418"/>
        <w:gridCol w:w="1559"/>
        <w:gridCol w:w="1842"/>
      </w:tblGrid>
      <w:tr w:rsidR="00243F1F" w:rsidRPr="00946D04" w:rsidTr="00A9637C">
        <w:trPr>
          <w:trHeight w:val="481"/>
        </w:trPr>
        <w:tc>
          <w:tcPr>
            <w:tcW w:w="3119" w:type="dxa"/>
            <w:vMerge w:val="restart"/>
            <w:vAlign w:val="center"/>
          </w:tcPr>
          <w:p w:rsidR="00243F1F" w:rsidRPr="00946D04" w:rsidRDefault="00243F1F" w:rsidP="00243F1F">
            <w:pPr>
              <w:jc w:val="center"/>
              <w:rPr>
                <w:sz w:val="22"/>
                <w:szCs w:val="22"/>
              </w:rPr>
            </w:pPr>
            <w:r w:rsidRPr="00946D04">
              <w:rPr>
                <w:sz w:val="22"/>
                <w:szCs w:val="22"/>
              </w:rPr>
              <w:t>Показатель</w:t>
            </w:r>
          </w:p>
        </w:tc>
        <w:tc>
          <w:tcPr>
            <w:tcW w:w="1843" w:type="dxa"/>
            <w:vMerge w:val="restart"/>
            <w:vAlign w:val="center"/>
          </w:tcPr>
          <w:p w:rsidR="00243F1F" w:rsidRPr="00946D04" w:rsidRDefault="00243F1F" w:rsidP="00243F1F">
            <w:pPr>
              <w:jc w:val="center"/>
              <w:rPr>
                <w:sz w:val="22"/>
                <w:szCs w:val="22"/>
              </w:rPr>
            </w:pPr>
            <w:r w:rsidRPr="00946D04">
              <w:rPr>
                <w:sz w:val="22"/>
                <w:szCs w:val="22"/>
              </w:rPr>
              <w:t>Предложение регулируемой организации на 202</w:t>
            </w:r>
            <w:r w:rsidR="007160F7">
              <w:rPr>
                <w:sz w:val="22"/>
                <w:szCs w:val="22"/>
              </w:rPr>
              <w:t>1</w:t>
            </w:r>
            <w:r w:rsidRPr="00946D04">
              <w:rPr>
                <w:sz w:val="22"/>
                <w:szCs w:val="22"/>
              </w:rPr>
              <w:t xml:space="preserve"> год*</w:t>
            </w:r>
          </w:p>
        </w:tc>
        <w:tc>
          <w:tcPr>
            <w:tcW w:w="2977" w:type="dxa"/>
            <w:gridSpan w:val="2"/>
            <w:vAlign w:val="center"/>
          </w:tcPr>
          <w:p w:rsidR="00243F1F" w:rsidRPr="00946D04" w:rsidRDefault="00243F1F" w:rsidP="00243F1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6D04">
              <w:rPr>
                <w:sz w:val="22"/>
                <w:szCs w:val="22"/>
              </w:rPr>
              <w:t>202</w:t>
            </w:r>
            <w:r w:rsidR="007160F7">
              <w:rPr>
                <w:sz w:val="22"/>
                <w:szCs w:val="22"/>
              </w:rPr>
              <w:t>1</w:t>
            </w:r>
            <w:r w:rsidRPr="00946D04">
              <w:rPr>
                <w:sz w:val="22"/>
                <w:szCs w:val="22"/>
              </w:rPr>
              <w:t xml:space="preserve"> год (скорректировано)</w:t>
            </w:r>
          </w:p>
        </w:tc>
        <w:tc>
          <w:tcPr>
            <w:tcW w:w="1842" w:type="dxa"/>
            <w:vMerge w:val="restart"/>
            <w:vAlign w:val="center"/>
          </w:tcPr>
          <w:p w:rsidR="00243F1F" w:rsidRPr="00946D04" w:rsidRDefault="00243F1F" w:rsidP="00243F1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6D04">
              <w:rPr>
                <w:sz w:val="22"/>
                <w:szCs w:val="22"/>
              </w:rPr>
              <w:t>Величины расходов, по которым отказано во включении в тарифы при корректировке на 202</w:t>
            </w:r>
            <w:r w:rsidR="007160F7">
              <w:rPr>
                <w:sz w:val="22"/>
                <w:szCs w:val="22"/>
              </w:rPr>
              <w:t>1</w:t>
            </w:r>
            <w:r w:rsidRPr="00946D04">
              <w:rPr>
                <w:sz w:val="22"/>
                <w:szCs w:val="22"/>
              </w:rPr>
              <w:t xml:space="preserve"> год**</w:t>
            </w:r>
          </w:p>
        </w:tc>
      </w:tr>
      <w:tr w:rsidR="00243F1F" w:rsidRPr="00946D04" w:rsidTr="00A9637C">
        <w:trPr>
          <w:trHeight w:val="931"/>
        </w:trPr>
        <w:tc>
          <w:tcPr>
            <w:tcW w:w="3119" w:type="dxa"/>
            <w:vMerge/>
          </w:tcPr>
          <w:p w:rsidR="00243F1F" w:rsidRPr="00946D04" w:rsidRDefault="00243F1F" w:rsidP="00243F1F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243F1F" w:rsidRPr="00946D04" w:rsidRDefault="00243F1F" w:rsidP="00243F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43F1F" w:rsidRPr="00946D04" w:rsidRDefault="00FC25A8" w:rsidP="00FC25A8">
            <w:pPr>
              <w:ind w:right="-180"/>
              <w:jc w:val="center"/>
              <w:rPr>
                <w:sz w:val="22"/>
                <w:szCs w:val="22"/>
              </w:rPr>
            </w:pPr>
            <w:r w:rsidRPr="00946D04">
              <w:rPr>
                <w:sz w:val="22"/>
                <w:szCs w:val="22"/>
              </w:rPr>
              <w:t xml:space="preserve">с </w:t>
            </w:r>
            <w:r w:rsidR="00243F1F" w:rsidRPr="00946D04">
              <w:rPr>
                <w:sz w:val="22"/>
                <w:szCs w:val="22"/>
              </w:rPr>
              <w:t>01.01.202</w:t>
            </w:r>
            <w:r w:rsidR="007160F7">
              <w:rPr>
                <w:sz w:val="22"/>
                <w:szCs w:val="22"/>
              </w:rPr>
              <w:t>1</w:t>
            </w:r>
            <w:r w:rsidR="00243F1F" w:rsidRPr="00946D04">
              <w:rPr>
                <w:sz w:val="22"/>
                <w:szCs w:val="22"/>
              </w:rPr>
              <w:t xml:space="preserve"> по 30.06.202</w:t>
            </w:r>
            <w:r w:rsidR="007160F7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:rsidR="00243F1F" w:rsidRPr="00946D04" w:rsidRDefault="00243F1F" w:rsidP="00FC25A8">
            <w:pPr>
              <w:ind w:left="41"/>
              <w:jc w:val="center"/>
              <w:rPr>
                <w:sz w:val="22"/>
                <w:szCs w:val="22"/>
              </w:rPr>
            </w:pPr>
            <w:r w:rsidRPr="00946D04">
              <w:rPr>
                <w:sz w:val="22"/>
                <w:szCs w:val="22"/>
              </w:rPr>
              <w:t>с 01.07.202</w:t>
            </w:r>
            <w:r w:rsidR="007160F7">
              <w:rPr>
                <w:sz w:val="22"/>
                <w:szCs w:val="22"/>
              </w:rPr>
              <w:t>1</w:t>
            </w:r>
            <w:r w:rsidRPr="00946D04">
              <w:rPr>
                <w:sz w:val="22"/>
                <w:szCs w:val="22"/>
              </w:rPr>
              <w:t xml:space="preserve"> по 31.12.202</w:t>
            </w:r>
            <w:r w:rsidR="007160F7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vMerge/>
          </w:tcPr>
          <w:p w:rsidR="00243F1F" w:rsidRPr="00946D04" w:rsidRDefault="00243F1F" w:rsidP="00243F1F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7F6E73" w:rsidRPr="00946D04" w:rsidTr="00A9637C">
        <w:trPr>
          <w:trHeight w:val="507"/>
        </w:trPr>
        <w:tc>
          <w:tcPr>
            <w:tcW w:w="3119" w:type="dxa"/>
          </w:tcPr>
          <w:p w:rsidR="007F6E73" w:rsidRPr="00946D04" w:rsidRDefault="007F6E73" w:rsidP="007F6E73">
            <w:pPr>
              <w:rPr>
                <w:sz w:val="22"/>
                <w:szCs w:val="22"/>
              </w:rPr>
            </w:pPr>
            <w:r w:rsidRPr="00946D04">
              <w:rPr>
                <w:sz w:val="22"/>
                <w:szCs w:val="22"/>
              </w:rPr>
              <w:t>Операционные (подконтрольные) расходы</w:t>
            </w:r>
          </w:p>
        </w:tc>
        <w:tc>
          <w:tcPr>
            <w:tcW w:w="1843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65 312,27</w:t>
            </w:r>
          </w:p>
        </w:tc>
        <w:tc>
          <w:tcPr>
            <w:tcW w:w="1418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4 980,00</w:t>
            </w:r>
          </w:p>
        </w:tc>
        <w:tc>
          <w:tcPr>
            <w:tcW w:w="1559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6 006,05</w:t>
            </w:r>
          </w:p>
        </w:tc>
        <w:tc>
          <w:tcPr>
            <w:tcW w:w="1842" w:type="dxa"/>
          </w:tcPr>
          <w:p w:rsidR="007F6E73" w:rsidRDefault="007F6E73" w:rsidP="007F6E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54326,22</w:t>
            </w:r>
          </w:p>
          <w:p w:rsidR="007F6E73" w:rsidRPr="00946D04" w:rsidRDefault="007F6E73" w:rsidP="007F6E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12E96">
              <w:rPr>
                <w:sz w:val="22"/>
                <w:szCs w:val="22"/>
              </w:rPr>
              <w:t>орректировка осуществлена в соответствии с пунктом 59 Основ ценообразования</w:t>
            </w:r>
          </w:p>
        </w:tc>
      </w:tr>
      <w:tr w:rsidR="007F6E73" w:rsidRPr="00946D04" w:rsidTr="00A9637C">
        <w:trPr>
          <w:trHeight w:val="207"/>
        </w:trPr>
        <w:tc>
          <w:tcPr>
            <w:tcW w:w="3119" w:type="dxa"/>
          </w:tcPr>
          <w:p w:rsidR="007F6E73" w:rsidRPr="00946D04" w:rsidRDefault="007F6E73" w:rsidP="007F6E73">
            <w:pPr>
              <w:rPr>
                <w:sz w:val="22"/>
                <w:szCs w:val="22"/>
              </w:rPr>
            </w:pPr>
            <w:r w:rsidRPr="00946D04">
              <w:rPr>
                <w:sz w:val="22"/>
                <w:szCs w:val="22"/>
              </w:rPr>
              <w:t>Неподконтрольные расходы</w:t>
            </w:r>
          </w:p>
        </w:tc>
        <w:tc>
          <w:tcPr>
            <w:tcW w:w="1843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23 536,30</w:t>
            </w:r>
          </w:p>
        </w:tc>
        <w:tc>
          <w:tcPr>
            <w:tcW w:w="1418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3 280,52</w:t>
            </w:r>
          </w:p>
        </w:tc>
        <w:tc>
          <w:tcPr>
            <w:tcW w:w="1559" w:type="dxa"/>
            <w:shd w:val="clear" w:color="auto" w:fill="auto"/>
          </w:tcPr>
          <w:p w:rsidR="007F6E73" w:rsidRDefault="005E1E94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3 456,21</w:t>
            </w:r>
          </w:p>
        </w:tc>
        <w:tc>
          <w:tcPr>
            <w:tcW w:w="1842" w:type="dxa"/>
            <w:shd w:val="clear" w:color="auto" w:fill="auto"/>
          </w:tcPr>
          <w:p w:rsidR="007F6E73" w:rsidRDefault="005E1E94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16799,57</w:t>
            </w:r>
          </w:p>
        </w:tc>
      </w:tr>
      <w:tr w:rsidR="007F6E73" w:rsidRPr="00946D04" w:rsidTr="00A9637C">
        <w:trPr>
          <w:trHeight w:val="1239"/>
        </w:trPr>
        <w:tc>
          <w:tcPr>
            <w:tcW w:w="3119" w:type="dxa"/>
          </w:tcPr>
          <w:p w:rsidR="007F6E73" w:rsidRPr="00946D04" w:rsidRDefault="007F6E73" w:rsidP="007F6E73">
            <w:pPr>
              <w:rPr>
                <w:sz w:val="22"/>
                <w:szCs w:val="22"/>
              </w:rPr>
            </w:pPr>
            <w:r w:rsidRPr="00946D04">
              <w:rPr>
                <w:sz w:val="22"/>
                <w:szCs w:val="22"/>
              </w:rPr>
              <w:t>Расходы на приобретение (производство) энергетических ресурсов, холодной воды и теплоносителя, в том числе:</w:t>
            </w:r>
          </w:p>
        </w:tc>
        <w:tc>
          <w:tcPr>
            <w:tcW w:w="1843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508,70</w:t>
            </w:r>
          </w:p>
        </w:tc>
        <w:tc>
          <w:tcPr>
            <w:tcW w:w="1418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226,66</w:t>
            </w:r>
          </w:p>
        </w:tc>
        <w:tc>
          <w:tcPr>
            <w:tcW w:w="1559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159,48</w:t>
            </w:r>
          </w:p>
        </w:tc>
        <w:tc>
          <w:tcPr>
            <w:tcW w:w="1842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122,5</w:t>
            </w:r>
            <w:r w:rsidR="0009435F">
              <w:rPr>
                <w:color w:val="000000"/>
                <w:sz w:val="22"/>
                <w:szCs w:val="22"/>
              </w:rPr>
              <w:t>6</w:t>
            </w:r>
          </w:p>
        </w:tc>
      </w:tr>
      <w:tr w:rsidR="007F6E73" w:rsidRPr="00946D04" w:rsidTr="00A9637C">
        <w:trPr>
          <w:trHeight w:val="509"/>
        </w:trPr>
        <w:tc>
          <w:tcPr>
            <w:tcW w:w="3119" w:type="dxa"/>
          </w:tcPr>
          <w:p w:rsidR="007F6E73" w:rsidRPr="00946D04" w:rsidRDefault="007F6E73" w:rsidP="007F6E73">
            <w:pPr>
              <w:rPr>
                <w:sz w:val="22"/>
                <w:szCs w:val="22"/>
              </w:rPr>
            </w:pPr>
            <w:r w:rsidRPr="00946D04">
              <w:rPr>
                <w:sz w:val="22"/>
                <w:szCs w:val="22"/>
              </w:rPr>
              <w:t>- расходы на электрическую энергию</w:t>
            </w:r>
          </w:p>
        </w:tc>
        <w:tc>
          <w:tcPr>
            <w:tcW w:w="1843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474,50</w:t>
            </w:r>
          </w:p>
        </w:tc>
        <w:tc>
          <w:tcPr>
            <w:tcW w:w="1418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226,66</w:t>
            </w:r>
          </w:p>
        </w:tc>
        <w:tc>
          <w:tcPr>
            <w:tcW w:w="1559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159,48</w:t>
            </w:r>
          </w:p>
        </w:tc>
        <w:tc>
          <w:tcPr>
            <w:tcW w:w="1842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88,3</w:t>
            </w:r>
            <w:r w:rsidR="0009435F">
              <w:rPr>
                <w:color w:val="000000"/>
                <w:sz w:val="22"/>
                <w:szCs w:val="22"/>
              </w:rPr>
              <w:t>6</w:t>
            </w:r>
          </w:p>
        </w:tc>
      </w:tr>
      <w:tr w:rsidR="007F6E73" w:rsidRPr="00946D04" w:rsidTr="00A9637C">
        <w:trPr>
          <w:trHeight w:val="216"/>
        </w:trPr>
        <w:tc>
          <w:tcPr>
            <w:tcW w:w="3119" w:type="dxa"/>
          </w:tcPr>
          <w:p w:rsidR="007F6E73" w:rsidRPr="00946D04" w:rsidRDefault="007F6E73" w:rsidP="007F6E73">
            <w:pPr>
              <w:rPr>
                <w:sz w:val="22"/>
                <w:szCs w:val="22"/>
              </w:rPr>
            </w:pPr>
            <w:r w:rsidRPr="00946D04">
              <w:rPr>
                <w:sz w:val="22"/>
                <w:szCs w:val="22"/>
              </w:rPr>
              <w:t xml:space="preserve">- расходы на холодную воду </w:t>
            </w:r>
          </w:p>
        </w:tc>
        <w:tc>
          <w:tcPr>
            <w:tcW w:w="1843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34,20</w:t>
            </w:r>
          </w:p>
        </w:tc>
        <w:tc>
          <w:tcPr>
            <w:tcW w:w="1418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34,20</w:t>
            </w:r>
          </w:p>
        </w:tc>
      </w:tr>
      <w:tr w:rsidR="007F6E73" w:rsidRPr="00946D04" w:rsidTr="00A9637C">
        <w:trPr>
          <w:trHeight w:val="268"/>
        </w:trPr>
        <w:tc>
          <w:tcPr>
            <w:tcW w:w="3119" w:type="dxa"/>
          </w:tcPr>
          <w:p w:rsidR="007F6E73" w:rsidRDefault="007F6E73" w:rsidP="007F6E73">
            <w:pPr>
              <w:rPr>
                <w:sz w:val="22"/>
                <w:szCs w:val="22"/>
              </w:rPr>
            </w:pPr>
            <w:r w:rsidRPr="00946D04">
              <w:rPr>
                <w:sz w:val="22"/>
                <w:szCs w:val="22"/>
              </w:rPr>
              <w:t>Прибыль</w:t>
            </w:r>
          </w:p>
          <w:p w:rsidR="007F6E73" w:rsidRPr="00946D04" w:rsidRDefault="007F6E73" w:rsidP="007F6E7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21,20</w:t>
            </w:r>
          </w:p>
        </w:tc>
        <w:tc>
          <w:tcPr>
            <w:tcW w:w="1418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21,20</w:t>
            </w:r>
          </w:p>
        </w:tc>
      </w:tr>
      <w:tr w:rsidR="007F6E73" w:rsidRPr="00946D04" w:rsidTr="00A9637C">
        <w:trPr>
          <w:trHeight w:val="431"/>
        </w:trPr>
        <w:tc>
          <w:tcPr>
            <w:tcW w:w="3119" w:type="dxa"/>
          </w:tcPr>
          <w:p w:rsidR="007F6E73" w:rsidRDefault="007F6E73" w:rsidP="007F6E73">
            <w:pPr>
              <w:rPr>
                <w:sz w:val="22"/>
                <w:szCs w:val="22"/>
              </w:rPr>
            </w:pPr>
            <w:r w:rsidRPr="00946D04">
              <w:rPr>
                <w:sz w:val="22"/>
                <w:szCs w:val="22"/>
              </w:rPr>
              <w:t>Скорректированная плановая НВВ</w:t>
            </w:r>
          </w:p>
          <w:p w:rsidR="007F6E73" w:rsidRPr="00946D04" w:rsidRDefault="007F6E73" w:rsidP="007F6E7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89 378,47</w:t>
            </w:r>
          </w:p>
        </w:tc>
        <w:tc>
          <w:tcPr>
            <w:tcW w:w="1418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8 487,18</w:t>
            </w:r>
          </w:p>
        </w:tc>
        <w:tc>
          <w:tcPr>
            <w:tcW w:w="1559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9 6</w:t>
            </w:r>
            <w:r w:rsidR="005E1E94">
              <w:rPr>
                <w:color w:val="000000"/>
                <w:sz w:val="22"/>
                <w:szCs w:val="22"/>
              </w:rPr>
              <w:t>21</w:t>
            </w:r>
            <w:r>
              <w:rPr>
                <w:color w:val="000000"/>
                <w:sz w:val="22"/>
                <w:szCs w:val="22"/>
              </w:rPr>
              <w:t>,</w:t>
            </w:r>
            <w:r w:rsidR="005E1E94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842" w:type="dxa"/>
            <w:shd w:val="clear" w:color="auto" w:fill="auto"/>
          </w:tcPr>
          <w:p w:rsidR="007F6E73" w:rsidRDefault="005E1E94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71 269,55</w:t>
            </w:r>
          </w:p>
        </w:tc>
      </w:tr>
      <w:tr w:rsidR="007F6E73" w:rsidRPr="00946D04" w:rsidTr="00A9637C">
        <w:trPr>
          <w:trHeight w:val="431"/>
        </w:trPr>
        <w:tc>
          <w:tcPr>
            <w:tcW w:w="3119" w:type="dxa"/>
            <w:vMerge w:val="restart"/>
            <w:vAlign w:val="center"/>
          </w:tcPr>
          <w:p w:rsidR="007F6E73" w:rsidRPr="00946D04" w:rsidRDefault="007F6E73" w:rsidP="007F6E73">
            <w:pPr>
              <w:jc w:val="center"/>
              <w:rPr>
                <w:sz w:val="22"/>
                <w:szCs w:val="22"/>
              </w:rPr>
            </w:pPr>
            <w:r w:rsidRPr="00946D04">
              <w:rPr>
                <w:sz w:val="22"/>
                <w:szCs w:val="22"/>
              </w:rPr>
              <w:lastRenderedPageBreak/>
              <w:t>Показатель</w:t>
            </w:r>
          </w:p>
        </w:tc>
        <w:tc>
          <w:tcPr>
            <w:tcW w:w="1843" w:type="dxa"/>
            <w:vMerge w:val="restart"/>
            <w:vAlign w:val="center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 w:rsidRPr="00946D04">
              <w:rPr>
                <w:sz w:val="22"/>
                <w:szCs w:val="22"/>
              </w:rPr>
              <w:t>Предложение регулируемой организации на 202</w:t>
            </w:r>
            <w:r>
              <w:rPr>
                <w:sz w:val="22"/>
                <w:szCs w:val="22"/>
              </w:rPr>
              <w:t>1</w:t>
            </w:r>
            <w:r w:rsidRPr="00946D04">
              <w:rPr>
                <w:sz w:val="22"/>
                <w:szCs w:val="22"/>
              </w:rPr>
              <w:t xml:space="preserve"> год*</w:t>
            </w:r>
          </w:p>
        </w:tc>
        <w:tc>
          <w:tcPr>
            <w:tcW w:w="2977" w:type="dxa"/>
            <w:gridSpan w:val="2"/>
            <w:vAlign w:val="center"/>
          </w:tcPr>
          <w:p w:rsidR="007F6E73" w:rsidRDefault="007F6E73" w:rsidP="007F6E73">
            <w:pPr>
              <w:jc w:val="center"/>
              <w:rPr>
                <w:sz w:val="22"/>
                <w:szCs w:val="22"/>
              </w:rPr>
            </w:pPr>
            <w:r w:rsidRPr="00946D04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46D04">
              <w:rPr>
                <w:sz w:val="22"/>
                <w:szCs w:val="22"/>
              </w:rPr>
              <w:t xml:space="preserve"> год (скорректировано)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 w:rsidRPr="00946D04">
              <w:rPr>
                <w:sz w:val="22"/>
                <w:szCs w:val="22"/>
              </w:rPr>
              <w:t>Величины расходов, по которым отказано во включении в тарифы при корректировке на 202</w:t>
            </w:r>
            <w:r>
              <w:rPr>
                <w:sz w:val="22"/>
                <w:szCs w:val="22"/>
              </w:rPr>
              <w:t>1</w:t>
            </w:r>
            <w:r w:rsidRPr="00946D04">
              <w:rPr>
                <w:sz w:val="22"/>
                <w:szCs w:val="22"/>
              </w:rPr>
              <w:t xml:space="preserve"> год**</w:t>
            </w:r>
          </w:p>
        </w:tc>
      </w:tr>
      <w:tr w:rsidR="007F6E73" w:rsidRPr="00946D04" w:rsidTr="00A9637C">
        <w:trPr>
          <w:trHeight w:val="431"/>
        </w:trPr>
        <w:tc>
          <w:tcPr>
            <w:tcW w:w="3119" w:type="dxa"/>
            <w:vMerge/>
          </w:tcPr>
          <w:p w:rsidR="007F6E73" w:rsidRPr="00946D04" w:rsidRDefault="007F6E73" w:rsidP="007F6E7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F6E73" w:rsidRPr="00946D04" w:rsidRDefault="007F6E73" w:rsidP="007F6E73">
            <w:pPr>
              <w:ind w:right="-180"/>
              <w:jc w:val="center"/>
              <w:rPr>
                <w:sz w:val="22"/>
                <w:szCs w:val="22"/>
              </w:rPr>
            </w:pPr>
            <w:r w:rsidRPr="00946D04">
              <w:rPr>
                <w:sz w:val="22"/>
                <w:szCs w:val="22"/>
              </w:rPr>
              <w:t>с 01.01.202</w:t>
            </w:r>
            <w:r>
              <w:rPr>
                <w:sz w:val="22"/>
                <w:szCs w:val="22"/>
              </w:rPr>
              <w:t>1</w:t>
            </w:r>
            <w:r w:rsidRPr="00946D04">
              <w:rPr>
                <w:sz w:val="22"/>
                <w:szCs w:val="22"/>
              </w:rPr>
              <w:t xml:space="preserve"> по 30.06.202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F6E73" w:rsidRPr="00946D04" w:rsidRDefault="007F6E73" w:rsidP="007F6E73">
            <w:pPr>
              <w:ind w:left="41"/>
              <w:jc w:val="center"/>
              <w:rPr>
                <w:sz w:val="22"/>
                <w:szCs w:val="22"/>
              </w:rPr>
            </w:pPr>
            <w:r w:rsidRPr="00946D04">
              <w:rPr>
                <w:sz w:val="22"/>
                <w:szCs w:val="22"/>
              </w:rPr>
              <w:t>с 01.07.202</w:t>
            </w:r>
            <w:r>
              <w:rPr>
                <w:sz w:val="22"/>
                <w:szCs w:val="22"/>
              </w:rPr>
              <w:t>1</w:t>
            </w:r>
            <w:r w:rsidRPr="00946D04">
              <w:rPr>
                <w:sz w:val="22"/>
                <w:szCs w:val="22"/>
              </w:rPr>
              <w:t xml:space="preserve"> по 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vMerge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6E73" w:rsidRPr="00946D04" w:rsidTr="00A9637C">
        <w:trPr>
          <w:trHeight w:val="371"/>
        </w:trPr>
        <w:tc>
          <w:tcPr>
            <w:tcW w:w="3119" w:type="dxa"/>
          </w:tcPr>
          <w:p w:rsidR="007F6E73" w:rsidRPr="00946D04" w:rsidRDefault="007F6E73" w:rsidP="007F6E73">
            <w:pPr>
              <w:rPr>
                <w:sz w:val="22"/>
                <w:szCs w:val="22"/>
              </w:rPr>
            </w:pPr>
            <w:r w:rsidRPr="00505B93">
              <w:rPr>
                <w:sz w:val="22"/>
                <w:szCs w:val="22"/>
              </w:rPr>
              <w:t>Результаты деятельности до перехода к регулированию цен (тарифов) на основе долгосрочных параметров регулирования</w:t>
            </w:r>
          </w:p>
        </w:tc>
        <w:tc>
          <w:tcPr>
            <w:tcW w:w="1843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7F6E73" w:rsidRPr="00946D04" w:rsidRDefault="007F6E73" w:rsidP="007F6E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7F6E73" w:rsidRPr="00946D04" w:rsidRDefault="007F6E73" w:rsidP="007F6E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7F6E73" w:rsidRPr="00946D04" w:rsidRDefault="007F6E73" w:rsidP="007F6E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F6E73" w:rsidRPr="00946D04" w:rsidTr="00A9637C">
        <w:trPr>
          <w:trHeight w:val="371"/>
        </w:trPr>
        <w:tc>
          <w:tcPr>
            <w:tcW w:w="3119" w:type="dxa"/>
          </w:tcPr>
          <w:p w:rsidR="007F6E73" w:rsidRPr="00946D04" w:rsidRDefault="007F6E73" w:rsidP="007F6E73">
            <w:pPr>
              <w:rPr>
                <w:sz w:val="22"/>
                <w:szCs w:val="22"/>
              </w:rPr>
            </w:pPr>
            <w:r w:rsidRPr="00946D04">
              <w:rPr>
                <w:sz w:val="22"/>
                <w:szCs w:val="22"/>
              </w:rPr>
              <w:t>Корректировка с целью учета отклонения фактических значений параметров расчета тарифов от значений, учтенных при установлении тарифов</w:t>
            </w:r>
          </w:p>
        </w:tc>
        <w:tc>
          <w:tcPr>
            <w:tcW w:w="1843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2 470,90</w:t>
            </w:r>
          </w:p>
        </w:tc>
        <w:tc>
          <w:tcPr>
            <w:tcW w:w="1418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7F6E73" w:rsidRDefault="005E1E94" w:rsidP="007F6E73">
            <w:pPr>
              <w:jc w:val="center"/>
              <w:rPr>
                <w:color w:val="000000"/>
                <w:sz w:val="22"/>
                <w:szCs w:val="22"/>
              </w:rPr>
            </w:pPr>
            <w:r w:rsidRPr="005E1E94">
              <w:rPr>
                <w:color w:val="000000"/>
                <w:sz w:val="22"/>
                <w:szCs w:val="22"/>
              </w:rPr>
              <w:t>1 590,61</w:t>
            </w:r>
          </w:p>
        </w:tc>
        <w:tc>
          <w:tcPr>
            <w:tcW w:w="1842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881,2</w:t>
            </w:r>
            <w:r w:rsidR="005E1E94">
              <w:rPr>
                <w:color w:val="000000"/>
                <w:sz w:val="22"/>
                <w:szCs w:val="22"/>
              </w:rPr>
              <w:t>9</w:t>
            </w:r>
          </w:p>
        </w:tc>
      </w:tr>
      <w:tr w:rsidR="007F6E73" w:rsidRPr="00946D04" w:rsidTr="00A9637C">
        <w:trPr>
          <w:trHeight w:val="618"/>
        </w:trPr>
        <w:tc>
          <w:tcPr>
            <w:tcW w:w="3119" w:type="dxa"/>
            <w:vAlign w:val="center"/>
          </w:tcPr>
          <w:p w:rsidR="007F6E73" w:rsidRPr="00946D04" w:rsidRDefault="007F6E73" w:rsidP="007F6E73">
            <w:pPr>
              <w:rPr>
                <w:sz w:val="22"/>
                <w:szCs w:val="22"/>
              </w:rPr>
            </w:pPr>
            <w:r w:rsidRPr="00946D04">
              <w:rPr>
                <w:sz w:val="22"/>
                <w:szCs w:val="22"/>
              </w:rPr>
              <w:t>НВВ, принимаемая к расчету при установлении тарифов</w:t>
            </w:r>
          </w:p>
        </w:tc>
        <w:tc>
          <w:tcPr>
            <w:tcW w:w="1843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91 849,37</w:t>
            </w:r>
          </w:p>
        </w:tc>
        <w:tc>
          <w:tcPr>
            <w:tcW w:w="1418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8 487,18</w:t>
            </w:r>
          </w:p>
        </w:tc>
        <w:tc>
          <w:tcPr>
            <w:tcW w:w="1559" w:type="dxa"/>
            <w:shd w:val="clear" w:color="auto" w:fill="auto"/>
          </w:tcPr>
          <w:p w:rsidR="007F6E73" w:rsidRDefault="007F6E73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5E1E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2</w:t>
            </w:r>
            <w:r w:rsidR="005E1E94">
              <w:rPr>
                <w:color w:val="000000"/>
                <w:sz w:val="22"/>
                <w:szCs w:val="22"/>
              </w:rPr>
              <w:t>12,35</w:t>
            </w:r>
          </w:p>
        </w:tc>
        <w:tc>
          <w:tcPr>
            <w:tcW w:w="1842" w:type="dxa"/>
            <w:shd w:val="clear" w:color="auto" w:fill="auto"/>
          </w:tcPr>
          <w:p w:rsidR="007F6E73" w:rsidRDefault="0009435F" w:rsidP="007F6E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  <w:r w:rsidR="005E1E9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</w:t>
            </w:r>
            <w:r w:rsidR="005E1E94">
              <w:rPr>
                <w:color w:val="000000"/>
                <w:sz w:val="22"/>
                <w:szCs w:val="22"/>
              </w:rPr>
              <w:t>49,84</w:t>
            </w:r>
          </w:p>
        </w:tc>
      </w:tr>
    </w:tbl>
    <w:p w:rsidR="00143D6C" w:rsidRPr="00615304" w:rsidRDefault="00143D6C" w:rsidP="00143D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 xml:space="preserve">* Информация представлена без календарной разбивки, так как предложение организации формировалось </w:t>
      </w:r>
      <w:r w:rsidR="00B72562" w:rsidRPr="00615304">
        <w:rPr>
          <w:sz w:val="28"/>
          <w:szCs w:val="28"/>
        </w:rPr>
        <w:t>для корректировки на 202</w:t>
      </w:r>
      <w:r w:rsidR="00DE7F7F">
        <w:rPr>
          <w:sz w:val="28"/>
          <w:szCs w:val="28"/>
        </w:rPr>
        <w:t>1</w:t>
      </w:r>
      <w:r w:rsidRPr="00615304">
        <w:rPr>
          <w:sz w:val="28"/>
          <w:szCs w:val="28"/>
        </w:rPr>
        <w:t xml:space="preserve"> год без календарной разбивки.</w:t>
      </w:r>
    </w:p>
    <w:p w:rsidR="00143D6C" w:rsidRPr="00615304" w:rsidRDefault="00143D6C" w:rsidP="0087380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 xml:space="preserve">** Экспертной группой на основании пунктов 16, 33 Правил регулирования цен (тарифов) в сфере теплоснабжения, утвержденных постановлением Правительства Российской Федерации от 22.10.2012 № 1075, отказано </w:t>
      </w:r>
      <w:r w:rsidR="00B72562" w:rsidRPr="00615304">
        <w:rPr>
          <w:sz w:val="28"/>
          <w:szCs w:val="28"/>
        </w:rPr>
        <w:t xml:space="preserve">при корректировке </w:t>
      </w:r>
      <w:r w:rsidRPr="00615304">
        <w:rPr>
          <w:sz w:val="28"/>
          <w:szCs w:val="28"/>
        </w:rPr>
        <w:t>во включении в цены (тарифы) отдельных расходов, предложенных регулируемой организацией.</w:t>
      </w:r>
    </w:p>
    <w:p w:rsidR="0035546A" w:rsidRPr="00751271" w:rsidRDefault="00143D6C" w:rsidP="0087380E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u w:val="single"/>
          <w:lang w:eastAsia="en-US"/>
        </w:rPr>
      </w:pPr>
      <w:r w:rsidRPr="00615304">
        <w:rPr>
          <w:rFonts w:eastAsia="Calibri"/>
          <w:sz w:val="28"/>
          <w:szCs w:val="28"/>
          <w:u w:val="single"/>
          <w:lang w:eastAsia="en-US"/>
        </w:rPr>
        <w:t xml:space="preserve">б) </w:t>
      </w:r>
      <w:r w:rsidR="0035546A" w:rsidRPr="00751271">
        <w:rPr>
          <w:rFonts w:eastAsia="Calibri"/>
          <w:sz w:val="27"/>
          <w:szCs w:val="27"/>
          <w:u w:val="single"/>
          <w:lang w:eastAsia="en-US"/>
        </w:rPr>
        <w:t>Объем полезного отпуска тепловой энергии (мощности) и договорной тепловой нагрузки, на основании которых были рассчитаны тарифы:</w:t>
      </w:r>
    </w:p>
    <w:p w:rsidR="00143D6C" w:rsidRPr="007511E1" w:rsidRDefault="00143D6C" w:rsidP="0087380E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511E1">
        <w:rPr>
          <w:rFonts w:eastAsia="Calibri"/>
          <w:sz w:val="28"/>
          <w:szCs w:val="28"/>
          <w:lang w:eastAsia="en-US"/>
        </w:rPr>
        <w:t xml:space="preserve">Объем полезного отпуска </w:t>
      </w:r>
      <w:r w:rsidR="0035546A" w:rsidRPr="007511E1">
        <w:rPr>
          <w:rFonts w:eastAsia="Calibri"/>
          <w:sz w:val="27"/>
          <w:szCs w:val="27"/>
          <w:lang w:eastAsia="en-US"/>
        </w:rPr>
        <w:t>тепловой энергии (мощности) и договорной теплово</w:t>
      </w:r>
      <w:r w:rsidR="006B1EE5">
        <w:rPr>
          <w:rFonts w:eastAsia="Calibri"/>
          <w:sz w:val="27"/>
          <w:szCs w:val="27"/>
          <w:lang w:eastAsia="en-US"/>
        </w:rPr>
        <w:t>й нагрузки, на основании которой</w:t>
      </w:r>
      <w:r w:rsidR="0035546A" w:rsidRPr="007511E1">
        <w:rPr>
          <w:rFonts w:eastAsia="Calibri"/>
          <w:sz w:val="27"/>
          <w:szCs w:val="27"/>
          <w:lang w:eastAsia="en-US"/>
        </w:rPr>
        <w:t xml:space="preserve"> были рассчитаны тарифы</w:t>
      </w:r>
      <w:r w:rsidR="0087380E">
        <w:rPr>
          <w:rFonts w:eastAsia="Calibri"/>
          <w:sz w:val="27"/>
          <w:szCs w:val="27"/>
          <w:lang w:eastAsia="en-US"/>
        </w:rPr>
        <w:t>,</w:t>
      </w:r>
      <w:r w:rsidRPr="007511E1">
        <w:rPr>
          <w:rFonts w:eastAsia="Calibri"/>
          <w:sz w:val="28"/>
          <w:szCs w:val="28"/>
          <w:lang w:eastAsia="en-US"/>
        </w:rPr>
        <w:t xml:space="preserve"> составля</w:t>
      </w:r>
      <w:r w:rsidR="009B1174">
        <w:rPr>
          <w:rFonts w:eastAsia="Calibri"/>
          <w:sz w:val="28"/>
          <w:szCs w:val="28"/>
          <w:lang w:eastAsia="en-US"/>
        </w:rPr>
        <w:t>ю</w:t>
      </w:r>
      <w:r w:rsidRPr="007511E1">
        <w:rPr>
          <w:rFonts w:eastAsia="Calibri"/>
          <w:sz w:val="28"/>
          <w:szCs w:val="28"/>
          <w:lang w:eastAsia="en-US"/>
        </w:rPr>
        <w:t>т</w:t>
      </w:r>
      <w:r w:rsidR="00152E66" w:rsidRPr="007511E1">
        <w:rPr>
          <w:rFonts w:eastAsia="Calibri"/>
          <w:sz w:val="28"/>
          <w:szCs w:val="28"/>
          <w:lang w:eastAsia="en-US"/>
        </w:rPr>
        <w:t xml:space="preserve"> </w:t>
      </w:r>
      <w:r w:rsidR="007F6E73" w:rsidRPr="007F6E73">
        <w:rPr>
          <w:rFonts w:eastAsia="Calibri"/>
          <w:sz w:val="28"/>
          <w:szCs w:val="28"/>
          <w:lang w:eastAsia="en-US"/>
        </w:rPr>
        <w:t>152,50</w:t>
      </w:r>
      <w:r w:rsidR="0087380E">
        <w:rPr>
          <w:rFonts w:eastAsia="Calibri"/>
          <w:sz w:val="28"/>
          <w:szCs w:val="28"/>
          <w:lang w:eastAsia="en-US"/>
        </w:rPr>
        <w:t xml:space="preserve"> тыс. Гкал и </w:t>
      </w:r>
      <w:r w:rsidR="007F6E73" w:rsidRPr="007F6E73">
        <w:rPr>
          <w:color w:val="000000"/>
          <w:sz w:val="28"/>
          <w:szCs w:val="28"/>
        </w:rPr>
        <w:t>75,21</w:t>
      </w:r>
      <w:r w:rsidR="007F6E73">
        <w:rPr>
          <w:color w:val="000000"/>
          <w:sz w:val="28"/>
          <w:szCs w:val="28"/>
        </w:rPr>
        <w:t xml:space="preserve"> </w:t>
      </w:r>
      <w:r w:rsidR="007511E1" w:rsidRPr="007511E1">
        <w:rPr>
          <w:rFonts w:eastAsia="Calibri"/>
          <w:color w:val="000000"/>
          <w:sz w:val="27"/>
          <w:szCs w:val="27"/>
          <w:lang w:eastAsia="en-US"/>
        </w:rPr>
        <w:t>Гкал/час</w:t>
      </w:r>
      <w:r w:rsidR="0087380E">
        <w:rPr>
          <w:rFonts w:eastAsia="Calibri"/>
          <w:color w:val="000000"/>
          <w:sz w:val="27"/>
          <w:szCs w:val="27"/>
          <w:lang w:eastAsia="en-US"/>
        </w:rPr>
        <w:t xml:space="preserve"> на 202</w:t>
      </w:r>
      <w:r w:rsidR="00DE7F7F">
        <w:rPr>
          <w:rFonts w:eastAsia="Calibri"/>
          <w:color w:val="000000"/>
          <w:sz w:val="27"/>
          <w:szCs w:val="27"/>
          <w:lang w:eastAsia="en-US"/>
        </w:rPr>
        <w:t>1</w:t>
      </w:r>
      <w:r w:rsidR="0087380E">
        <w:rPr>
          <w:rFonts w:eastAsia="Calibri"/>
          <w:color w:val="000000"/>
          <w:sz w:val="27"/>
          <w:szCs w:val="27"/>
          <w:lang w:eastAsia="en-US"/>
        </w:rPr>
        <w:t xml:space="preserve"> год</w:t>
      </w:r>
      <w:r w:rsidR="000F5CB3" w:rsidRPr="007511E1">
        <w:rPr>
          <w:color w:val="000000"/>
          <w:sz w:val="28"/>
          <w:szCs w:val="28"/>
          <w:lang w:eastAsia="en-US"/>
        </w:rPr>
        <w:t>, в том числе</w:t>
      </w:r>
      <w:r w:rsidRPr="007511E1">
        <w:rPr>
          <w:rFonts w:eastAsia="Calibri"/>
          <w:sz w:val="28"/>
          <w:szCs w:val="28"/>
          <w:lang w:eastAsia="en-US"/>
        </w:rPr>
        <w:t>:</w:t>
      </w:r>
    </w:p>
    <w:p w:rsidR="0035546A" w:rsidRPr="007511E1" w:rsidRDefault="0035546A" w:rsidP="0087380E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7511E1">
        <w:rPr>
          <w:rFonts w:eastAsia="Calibri"/>
          <w:color w:val="000000"/>
          <w:sz w:val="27"/>
          <w:szCs w:val="27"/>
          <w:lang w:eastAsia="en-US"/>
        </w:rPr>
        <w:t>с 01.01.202</w:t>
      </w:r>
      <w:r w:rsidR="00DE7F7F">
        <w:rPr>
          <w:rFonts w:eastAsia="Calibri"/>
          <w:color w:val="000000"/>
          <w:sz w:val="27"/>
          <w:szCs w:val="27"/>
          <w:lang w:eastAsia="en-US"/>
        </w:rPr>
        <w:t>1</w:t>
      </w:r>
      <w:r w:rsidRPr="007511E1">
        <w:rPr>
          <w:rFonts w:eastAsia="Calibri"/>
          <w:color w:val="000000"/>
          <w:sz w:val="27"/>
          <w:szCs w:val="27"/>
          <w:lang w:eastAsia="en-US"/>
        </w:rPr>
        <w:t xml:space="preserve"> по 30.06.202</w:t>
      </w:r>
      <w:r w:rsidR="00DE7F7F">
        <w:rPr>
          <w:rFonts w:eastAsia="Calibri"/>
          <w:color w:val="000000"/>
          <w:sz w:val="27"/>
          <w:szCs w:val="27"/>
          <w:lang w:eastAsia="en-US"/>
        </w:rPr>
        <w:t>1</w:t>
      </w:r>
      <w:r w:rsidRPr="007511E1">
        <w:rPr>
          <w:rFonts w:eastAsia="Calibri"/>
          <w:color w:val="000000"/>
          <w:sz w:val="27"/>
          <w:szCs w:val="27"/>
          <w:lang w:eastAsia="en-US"/>
        </w:rPr>
        <w:t xml:space="preserve"> –</w:t>
      </w:r>
      <w:r w:rsidR="00DE7F7F">
        <w:rPr>
          <w:rFonts w:eastAsia="Calibri"/>
          <w:color w:val="000000"/>
          <w:sz w:val="27"/>
          <w:szCs w:val="27"/>
          <w:lang w:eastAsia="en-US"/>
        </w:rPr>
        <w:t xml:space="preserve"> </w:t>
      </w:r>
      <w:r w:rsidR="007F6E73" w:rsidRPr="007F6E73">
        <w:rPr>
          <w:rFonts w:eastAsia="Calibri"/>
          <w:color w:val="000000"/>
          <w:sz w:val="27"/>
          <w:szCs w:val="27"/>
          <w:lang w:eastAsia="en-US"/>
        </w:rPr>
        <w:t>89,52</w:t>
      </w:r>
      <w:r w:rsidR="00DE7F7F">
        <w:rPr>
          <w:rFonts w:eastAsia="Calibri"/>
          <w:color w:val="000000"/>
          <w:sz w:val="27"/>
          <w:szCs w:val="27"/>
          <w:lang w:eastAsia="en-US"/>
        </w:rPr>
        <w:t xml:space="preserve"> </w:t>
      </w:r>
      <w:r w:rsidRPr="007511E1">
        <w:rPr>
          <w:rFonts w:eastAsia="Calibri"/>
          <w:color w:val="000000"/>
          <w:sz w:val="27"/>
          <w:szCs w:val="27"/>
          <w:lang w:eastAsia="en-US"/>
        </w:rPr>
        <w:t xml:space="preserve">тыс. Гкал и </w:t>
      </w:r>
      <w:r w:rsidR="007F6E73" w:rsidRPr="007F6E73">
        <w:rPr>
          <w:rFonts w:eastAsia="Calibri"/>
          <w:color w:val="000000"/>
          <w:sz w:val="27"/>
          <w:szCs w:val="27"/>
          <w:lang w:eastAsia="en-US"/>
        </w:rPr>
        <w:t>75,21</w:t>
      </w:r>
      <w:r w:rsidRPr="007511E1">
        <w:rPr>
          <w:rFonts w:eastAsia="Calibri"/>
          <w:color w:val="000000"/>
          <w:sz w:val="27"/>
          <w:szCs w:val="27"/>
          <w:lang w:eastAsia="en-US"/>
        </w:rPr>
        <w:t xml:space="preserve"> Гкал/час; </w:t>
      </w:r>
    </w:p>
    <w:p w:rsidR="0035546A" w:rsidRPr="007511E1" w:rsidRDefault="0035546A" w:rsidP="0087380E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7511E1">
        <w:rPr>
          <w:rFonts w:eastAsia="Calibri"/>
          <w:color w:val="000000"/>
          <w:sz w:val="27"/>
          <w:szCs w:val="27"/>
          <w:lang w:val="en-US" w:eastAsia="en-US"/>
        </w:rPr>
        <w:t>c</w:t>
      </w:r>
      <w:r w:rsidRPr="007511E1">
        <w:rPr>
          <w:rFonts w:eastAsia="Calibri"/>
          <w:color w:val="000000"/>
          <w:sz w:val="27"/>
          <w:szCs w:val="27"/>
          <w:lang w:eastAsia="en-US"/>
        </w:rPr>
        <w:t xml:space="preserve"> 01.07.202</w:t>
      </w:r>
      <w:r w:rsidR="00DE7F7F">
        <w:rPr>
          <w:rFonts w:eastAsia="Calibri"/>
          <w:color w:val="000000"/>
          <w:sz w:val="27"/>
          <w:szCs w:val="27"/>
          <w:lang w:eastAsia="en-US"/>
        </w:rPr>
        <w:t xml:space="preserve">1 </w:t>
      </w:r>
      <w:r w:rsidRPr="007511E1">
        <w:rPr>
          <w:rFonts w:eastAsia="Calibri"/>
          <w:color w:val="000000"/>
          <w:sz w:val="27"/>
          <w:szCs w:val="27"/>
          <w:lang w:eastAsia="en-US"/>
        </w:rPr>
        <w:t>по 31.12.202</w:t>
      </w:r>
      <w:r w:rsidR="00DE7F7F">
        <w:rPr>
          <w:rFonts w:eastAsia="Calibri"/>
          <w:color w:val="000000"/>
          <w:sz w:val="27"/>
          <w:szCs w:val="27"/>
          <w:lang w:eastAsia="en-US"/>
        </w:rPr>
        <w:t>1</w:t>
      </w:r>
      <w:r w:rsidRPr="007511E1">
        <w:rPr>
          <w:rFonts w:eastAsia="Calibri"/>
          <w:color w:val="000000"/>
          <w:sz w:val="27"/>
          <w:szCs w:val="27"/>
          <w:lang w:eastAsia="en-US"/>
        </w:rPr>
        <w:t xml:space="preserve"> – </w:t>
      </w:r>
      <w:r w:rsidR="007F6E73" w:rsidRPr="007F6E73">
        <w:rPr>
          <w:rFonts w:eastAsia="Calibri"/>
          <w:color w:val="000000"/>
          <w:sz w:val="27"/>
          <w:szCs w:val="27"/>
          <w:lang w:eastAsia="en-US"/>
        </w:rPr>
        <w:t>62,98</w:t>
      </w:r>
      <w:r w:rsidRPr="007511E1">
        <w:rPr>
          <w:rFonts w:eastAsia="Calibri"/>
          <w:color w:val="000000"/>
          <w:sz w:val="27"/>
          <w:szCs w:val="27"/>
          <w:lang w:eastAsia="en-US"/>
        </w:rPr>
        <w:t xml:space="preserve"> тыс. Гкал и </w:t>
      </w:r>
      <w:r w:rsidR="007F6E73" w:rsidRPr="007F6E73">
        <w:rPr>
          <w:rFonts w:eastAsia="Calibri"/>
          <w:color w:val="000000"/>
          <w:sz w:val="27"/>
          <w:szCs w:val="27"/>
          <w:lang w:eastAsia="en-US"/>
        </w:rPr>
        <w:t>75,21</w:t>
      </w:r>
      <w:r w:rsidRPr="007511E1">
        <w:rPr>
          <w:rFonts w:eastAsia="Calibri"/>
          <w:color w:val="000000"/>
          <w:sz w:val="27"/>
          <w:szCs w:val="27"/>
          <w:lang w:eastAsia="en-US"/>
        </w:rPr>
        <w:t xml:space="preserve"> Гкал/час.</w:t>
      </w:r>
    </w:p>
    <w:p w:rsidR="00143D6C" w:rsidRPr="00615304" w:rsidRDefault="00143D6C" w:rsidP="0087380E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7511E1">
        <w:rPr>
          <w:rFonts w:eastAsia="Calibri"/>
          <w:sz w:val="28"/>
          <w:szCs w:val="28"/>
          <w:u w:val="single"/>
          <w:lang w:eastAsia="en-US"/>
        </w:rPr>
        <w:t>в) Индекс потребительских цен, индексы роста цен на каждый энергетический</w:t>
      </w:r>
      <w:r w:rsidRPr="00615304">
        <w:rPr>
          <w:rFonts w:eastAsia="Calibri"/>
          <w:sz w:val="28"/>
          <w:szCs w:val="28"/>
          <w:u w:val="single"/>
          <w:lang w:eastAsia="en-US"/>
        </w:rPr>
        <w:t xml:space="preserve"> ресурс и холодную воду, потребляемые регулируемой организацией при осуществлении регулируемой деятельности в расчетном периоде регулирования, индексы роста цен на доставку каждого энергетического ресурса и холодной воды, потребляемых регулируемой организацией при осуществлении регулируемой деятельности представлены в нижеприведенной таблице:</w:t>
      </w:r>
    </w:p>
    <w:p w:rsidR="00143D6C" w:rsidRDefault="00596787" w:rsidP="00596787">
      <w:pPr>
        <w:jc w:val="right"/>
      </w:pPr>
      <w:r>
        <w:t>%</w:t>
      </w:r>
    </w:p>
    <w:tbl>
      <w:tblPr>
        <w:tblW w:w="9781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4111"/>
        <w:gridCol w:w="3119"/>
        <w:gridCol w:w="2551"/>
      </w:tblGrid>
      <w:tr w:rsidR="00596787" w:rsidRPr="00D646C7" w:rsidTr="00B85781">
        <w:trPr>
          <w:trHeight w:val="339"/>
        </w:trPr>
        <w:tc>
          <w:tcPr>
            <w:tcW w:w="4111" w:type="dxa"/>
            <w:vMerge w:val="restart"/>
            <w:vAlign w:val="center"/>
          </w:tcPr>
          <w:p w:rsidR="00596787" w:rsidRPr="00CC5DC2" w:rsidRDefault="00596787" w:rsidP="005967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C5DC2">
              <w:rPr>
                <w:rFonts w:eastAsia="Calibri"/>
                <w:sz w:val="22"/>
                <w:szCs w:val="22"/>
              </w:rPr>
              <w:t>Индекс</w:t>
            </w:r>
          </w:p>
        </w:tc>
        <w:tc>
          <w:tcPr>
            <w:tcW w:w="5670" w:type="dxa"/>
            <w:gridSpan w:val="2"/>
          </w:tcPr>
          <w:p w:rsidR="00596787" w:rsidRPr="00CC5DC2" w:rsidRDefault="00596787" w:rsidP="00723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C5DC2">
              <w:rPr>
                <w:rFonts w:eastAsia="Calibri"/>
                <w:sz w:val="22"/>
                <w:szCs w:val="22"/>
              </w:rPr>
              <w:t>Величина индекса*</w:t>
            </w:r>
          </w:p>
        </w:tc>
      </w:tr>
      <w:tr w:rsidR="00596787" w:rsidRPr="00D646C7" w:rsidTr="00B85781">
        <w:trPr>
          <w:trHeight w:val="339"/>
        </w:trPr>
        <w:tc>
          <w:tcPr>
            <w:tcW w:w="4111" w:type="dxa"/>
            <w:vMerge/>
          </w:tcPr>
          <w:p w:rsidR="00596787" w:rsidRPr="00CC5DC2" w:rsidRDefault="00596787" w:rsidP="00723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96787" w:rsidRPr="00CC5DC2" w:rsidRDefault="00596787" w:rsidP="00723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C5DC2">
              <w:rPr>
                <w:rFonts w:eastAsia="Calibri"/>
                <w:sz w:val="22"/>
                <w:szCs w:val="22"/>
              </w:rPr>
              <w:t>На 20</w:t>
            </w:r>
            <w:r w:rsidR="00DE7F7F">
              <w:rPr>
                <w:rFonts w:eastAsia="Calibri"/>
                <w:sz w:val="22"/>
                <w:szCs w:val="22"/>
              </w:rPr>
              <w:t>20</w:t>
            </w:r>
            <w:r w:rsidRPr="00CC5DC2">
              <w:rPr>
                <w:rFonts w:eastAsia="Calibri"/>
                <w:sz w:val="22"/>
                <w:szCs w:val="22"/>
              </w:rPr>
              <w:t xml:space="preserve"> год 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96787" w:rsidRPr="00CC5DC2" w:rsidRDefault="00596787" w:rsidP="00723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C5DC2">
              <w:rPr>
                <w:rFonts w:eastAsia="Calibri"/>
                <w:sz w:val="22"/>
                <w:szCs w:val="22"/>
              </w:rPr>
              <w:t>На 202</w:t>
            </w:r>
            <w:r w:rsidR="00DE7F7F">
              <w:rPr>
                <w:rFonts w:eastAsia="Calibri"/>
                <w:sz w:val="22"/>
                <w:szCs w:val="22"/>
              </w:rPr>
              <w:t>1</w:t>
            </w:r>
            <w:r w:rsidRPr="00CC5DC2">
              <w:rPr>
                <w:rFonts w:eastAsia="Calibri"/>
                <w:sz w:val="22"/>
                <w:szCs w:val="22"/>
              </w:rPr>
              <w:t xml:space="preserve"> год </w:t>
            </w:r>
          </w:p>
        </w:tc>
      </w:tr>
      <w:tr w:rsidR="00596787" w:rsidRPr="00D646C7" w:rsidTr="00B85781">
        <w:trPr>
          <w:trHeight w:val="339"/>
        </w:trPr>
        <w:tc>
          <w:tcPr>
            <w:tcW w:w="4111" w:type="dxa"/>
            <w:vAlign w:val="center"/>
          </w:tcPr>
          <w:p w:rsidR="00596787" w:rsidRPr="00CC5DC2" w:rsidRDefault="00596787" w:rsidP="0072376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C5DC2">
              <w:rPr>
                <w:rFonts w:eastAsia="Calibri"/>
                <w:sz w:val="22"/>
                <w:szCs w:val="22"/>
              </w:rPr>
              <w:t>Потребительских цен (ИПЦ)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596787" w:rsidRPr="00DE7F7F" w:rsidRDefault="00DE7F7F" w:rsidP="00723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103,2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596787" w:rsidRPr="00CC5DC2" w:rsidRDefault="00DE7F7F" w:rsidP="00723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103,6</w:t>
            </w:r>
          </w:p>
        </w:tc>
      </w:tr>
      <w:tr w:rsidR="00596787" w:rsidRPr="00D646C7" w:rsidTr="00B85781">
        <w:trPr>
          <w:trHeight w:val="422"/>
        </w:trPr>
        <w:tc>
          <w:tcPr>
            <w:tcW w:w="4111" w:type="dxa"/>
            <w:vAlign w:val="center"/>
          </w:tcPr>
          <w:p w:rsidR="00596787" w:rsidRPr="00CC5DC2" w:rsidRDefault="00596787" w:rsidP="0072376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C5DC2">
              <w:rPr>
                <w:rFonts w:eastAsia="Calibri"/>
                <w:sz w:val="22"/>
                <w:szCs w:val="22"/>
              </w:rPr>
              <w:t>На электроэнергию</w:t>
            </w:r>
          </w:p>
        </w:tc>
        <w:tc>
          <w:tcPr>
            <w:tcW w:w="3119" w:type="dxa"/>
            <w:vAlign w:val="center"/>
          </w:tcPr>
          <w:p w:rsidR="00596787" w:rsidRPr="00DE7F7F" w:rsidRDefault="00DE7F7F" w:rsidP="00723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103,2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6787" w:rsidRPr="00CC5DC2" w:rsidRDefault="00DE7F7F" w:rsidP="00723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104,0</w:t>
            </w:r>
          </w:p>
        </w:tc>
      </w:tr>
    </w:tbl>
    <w:p w:rsidR="00143D6C" w:rsidRPr="00615304" w:rsidRDefault="00143D6C" w:rsidP="006E325B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304">
        <w:rPr>
          <w:rFonts w:eastAsia="Calibri"/>
          <w:sz w:val="28"/>
          <w:szCs w:val="28"/>
          <w:lang w:eastAsia="en-US"/>
        </w:rPr>
        <w:t>* соответствует п</w:t>
      </w:r>
      <w:r w:rsidRPr="00615304">
        <w:rPr>
          <w:sz w:val="28"/>
          <w:szCs w:val="28"/>
        </w:rPr>
        <w:t>рогнозу социально – экономического разв</w:t>
      </w:r>
      <w:r w:rsidR="00B85781" w:rsidRPr="00615304">
        <w:rPr>
          <w:sz w:val="28"/>
          <w:szCs w:val="28"/>
        </w:rPr>
        <w:t>ития Российской Федерации на 202</w:t>
      </w:r>
      <w:r w:rsidR="00DE7F7F">
        <w:rPr>
          <w:sz w:val="28"/>
          <w:szCs w:val="28"/>
        </w:rPr>
        <w:t>1</w:t>
      </w:r>
      <w:r w:rsidRPr="00615304">
        <w:rPr>
          <w:sz w:val="28"/>
          <w:szCs w:val="28"/>
        </w:rPr>
        <w:t xml:space="preserve"> год и на плановый период 202</w:t>
      </w:r>
      <w:r w:rsidR="00DE7F7F">
        <w:rPr>
          <w:sz w:val="28"/>
          <w:szCs w:val="28"/>
        </w:rPr>
        <w:t>2</w:t>
      </w:r>
      <w:r w:rsidRPr="00615304">
        <w:rPr>
          <w:sz w:val="28"/>
          <w:szCs w:val="28"/>
        </w:rPr>
        <w:t xml:space="preserve"> и 202</w:t>
      </w:r>
      <w:r w:rsidR="00DE7F7F">
        <w:rPr>
          <w:sz w:val="28"/>
          <w:szCs w:val="28"/>
        </w:rPr>
        <w:t>3</w:t>
      </w:r>
      <w:r w:rsidRPr="00615304">
        <w:rPr>
          <w:sz w:val="28"/>
          <w:szCs w:val="28"/>
        </w:rPr>
        <w:t xml:space="preserve"> годов</w:t>
      </w:r>
      <w:r w:rsidRPr="00615304">
        <w:rPr>
          <w:rFonts w:eastAsia="Calibri"/>
          <w:sz w:val="28"/>
          <w:szCs w:val="28"/>
          <w:lang w:eastAsia="en-US"/>
        </w:rPr>
        <w:t>.</w:t>
      </w:r>
    </w:p>
    <w:p w:rsidR="00143D6C" w:rsidRPr="00615304" w:rsidRDefault="00143D6C" w:rsidP="006E325B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15304">
        <w:rPr>
          <w:rFonts w:eastAsia="Calibri"/>
          <w:sz w:val="28"/>
          <w:szCs w:val="28"/>
          <w:u w:val="single"/>
          <w:lang w:eastAsia="en-US"/>
        </w:rPr>
        <w:t>г) Индекс изменения количества активов:</w:t>
      </w:r>
    </w:p>
    <w:p w:rsidR="00B85781" w:rsidRPr="00615304" w:rsidRDefault="00B85781" w:rsidP="00A65D8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lastRenderedPageBreak/>
        <w:t>Согласно п</w:t>
      </w:r>
      <w:r w:rsidR="0002547C" w:rsidRPr="00615304">
        <w:rPr>
          <w:sz w:val="28"/>
          <w:szCs w:val="28"/>
        </w:rPr>
        <w:t>ункту</w:t>
      </w:r>
      <w:r w:rsidRPr="00615304">
        <w:rPr>
          <w:sz w:val="28"/>
          <w:szCs w:val="28"/>
        </w:rPr>
        <w:t xml:space="preserve"> 60</w:t>
      </w:r>
      <w:r w:rsidR="00143D6C" w:rsidRPr="00615304">
        <w:rPr>
          <w:sz w:val="28"/>
          <w:szCs w:val="28"/>
        </w:rPr>
        <w:t xml:space="preserve"> Основ ценообразования и п</w:t>
      </w:r>
      <w:r w:rsidR="0002547C" w:rsidRPr="00615304">
        <w:rPr>
          <w:sz w:val="28"/>
          <w:szCs w:val="28"/>
        </w:rPr>
        <w:t>ункту</w:t>
      </w:r>
      <w:r w:rsidR="00143D6C" w:rsidRPr="00615304">
        <w:rPr>
          <w:sz w:val="28"/>
          <w:szCs w:val="28"/>
        </w:rPr>
        <w:t xml:space="preserve"> 36 Методических указаний </w:t>
      </w:r>
      <w:r w:rsidRPr="00615304">
        <w:rPr>
          <w:spacing w:val="-3"/>
          <w:kern w:val="28"/>
          <w:sz w:val="28"/>
          <w:szCs w:val="28"/>
        </w:rPr>
        <w:t>по расчету регулируемых цен (тарифов) в сфере теплоснабжения</w:t>
      </w:r>
      <w:r w:rsidRPr="00615304">
        <w:rPr>
          <w:kern w:val="28"/>
          <w:sz w:val="28"/>
          <w:szCs w:val="28"/>
        </w:rPr>
        <w:t xml:space="preserve">, утвержденных приказом Федеральной службы по тарифам от </w:t>
      </w:r>
      <w:r w:rsidRPr="00615304">
        <w:rPr>
          <w:spacing w:val="-6"/>
          <w:kern w:val="28"/>
          <w:sz w:val="28"/>
          <w:szCs w:val="28"/>
        </w:rPr>
        <w:t>13.06.2013 № 760-э (далее – Методические указания),</w:t>
      </w:r>
      <w:r w:rsidRPr="00615304">
        <w:rPr>
          <w:sz w:val="28"/>
          <w:szCs w:val="28"/>
        </w:rPr>
        <w:t xml:space="preserve"> </w:t>
      </w:r>
      <w:r w:rsidR="006E325B" w:rsidRPr="00615304">
        <w:rPr>
          <w:sz w:val="28"/>
          <w:szCs w:val="28"/>
        </w:rPr>
        <w:t>изменение</w:t>
      </w:r>
      <w:r w:rsidR="0002547C" w:rsidRPr="00615304">
        <w:rPr>
          <w:sz w:val="28"/>
          <w:szCs w:val="28"/>
        </w:rPr>
        <w:t xml:space="preserve"> уровня опера</w:t>
      </w:r>
      <w:r w:rsidR="006E325B" w:rsidRPr="00615304">
        <w:rPr>
          <w:sz w:val="28"/>
          <w:szCs w:val="28"/>
        </w:rPr>
        <w:t>ционных рас</w:t>
      </w:r>
      <w:r w:rsidR="0002547C" w:rsidRPr="00615304">
        <w:rPr>
          <w:sz w:val="28"/>
          <w:szCs w:val="28"/>
        </w:rPr>
        <w:t xml:space="preserve">ходов на </w:t>
      </w:r>
      <w:r w:rsidR="00143D6C" w:rsidRPr="00615304">
        <w:rPr>
          <w:sz w:val="28"/>
          <w:szCs w:val="28"/>
        </w:rPr>
        <w:t xml:space="preserve">индекс изменения количества активов </w:t>
      </w:r>
      <w:r w:rsidRPr="00615304">
        <w:rPr>
          <w:sz w:val="28"/>
          <w:szCs w:val="28"/>
        </w:rPr>
        <w:t xml:space="preserve">осуществляется в порядке, установленном методическими указаниями, и применяется с целью учета зависимости операционных расходов от размера активов, необходимых для осуществления регулируемой деятельности на </w:t>
      </w:r>
      <w:r w:rsidRPr="00615304">
        <w:rPr>
          <w:sz w:val="28"/>
          <w:szCs w:val="28"/>
          <w:lang w:val="en-US"/>
        </w:rPr>
        <w:t>i</w:t>
      </w:r>
      <w:r w:rsidRPr="00615304">
        <w:rPr>
          <w:sz w:val="28"/>
          <w:szCs w:val="28"/>
        </w:rPr>
        <w:t>-й год долгосрочного периода регулирования в соответствии с пунктом 38 указанных Методических указаний.</w:t>
      </w:r>
    </w:p>
    <w:p w:rsidR="00143D6C" w:rsidRPr="00615304" w:rsidRDefault="00143D6C" w:rsidP="00A65D8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>Индекс изменения количества активов</w:t>
      </w:r>
      <w:r w:rsidR="0002547C" w:rsidRPr="00615304">
        <w:rPr>
          <w:sz w:val="28"/>
          <w:szCs w:val="28"/>
        </w:rPr>
        <w:t>,</w:t>
      </w:r>
      <w:r w:rsidRPr="00615304">
        <w:rPr>
          <w:sz w:val="28"/>
          <w:szCs w:val="28"/>
        </w:rPr>
        <w:t xml:space="preserve"> рассчитан</w:t>
      </w:r>
      <w:r w:rsidR="0002547C" w:rsidRPr="00615304">
        <w:rPr>
          <w:sz w:val="28"/>
          <w:szCs w:val="28"/>
        </w:rPr>
        <w:t>ный</w:t>
      </w:r>
      <w:r w:rsidRPr="00615304">
        <w:rPr>
          <w:sz w:val="28"/>
          <w:szCs w:val="28"/>
        </w:rPr>
        <w:t xml:space="preserve"> в соответствии с п</w:t>
      </w:r>
      <w:r w:rsidR="0002547C" w:rsidRPr="00615304">
        <w:rPr>
          <w:sz w:val="28"/>
          <w:szCs w:val="28"/>
        </w:rPr>
        <w:t>унктом</w:t>
      </w:r>
      <w:r w:rsidRPr="00615304">
        <w:rPr>
          <w:sz w:val="28"/>
          <w:szCs w:val="28"/>
        </w:rPr>
        <w:t xml:space="preserve"> 38 Методических указаний</w:t>
      </w:r>
      <w:r w:rsidR="0002547C" w:rsidRPr="00615304">
        <w:rPr>
          <w:sz w:val="28"/>
          <w:szCs w:val="28"/>
        </w:rPr>
        <w:t xml:space="preserve">, </w:t>
      </w:r>
      <w:r w:rsidR="0087380E">
        <w:rPr>
          <w:sz w:val="28"/>
          <w:szCs w:val="28"/>
        </w:rPr>
        <w:t xml:space="preserve">равен </w:t>
      </w:r>
      <w:r w:rsidR="007F6E73" w:rsidRPr="007F6E73">
        <w:rPr>
          <w:sz w:val="28"/>
          <w:szCs w:val="28"/>
        </w:rPr>
        <w:t>0,01</w:t>
      </w:r>
      <w:r w:rsidR="007F6E73">
        <w:rPr>
          <w:sz w:val="28"/>
          <w:szCs w:val="28"/>
        </w:rPr>
        <w:t xml:space="preserve"> </w:t>
      </w:r>
      <w:r w:rsidR="0002547C" w:rsidRPr="00615304">
        <w:rPr>
          <w:sz w:val="28"/>
          <w:szCs w:val="28"/>
        </w:rPr>
        <w:t>на 202</w:t>
      </w:r>
      <w:r w:rsidR="00DE7F7F">
        <w:rPr>
          <w:sz w:val="28"/>
          <w:szCs w:val="28"/>
        </w:rPr>
        <w:t>1</w:t>
      </w:r>
      <w:r w:rsidR="0002547C" w:rsidRPr="00615304">
        <w:rPr>
          <w:sz w:val="28"/>
          <w:szCs w:val="28"/>
        </w:rPr>
        <w:t xml:space="preserve"> год</w:t>
      </w:r>
      <w:r w:rsidRPr="00615304">
        <w:rPr>
          <w:sz w:val="28"/>
          <w:szCs w:val="28"/>
        </w:rPr>
        <w:t>.</w:t>
      </w:r>
    </w:p>
    <w:p w:rsidR="00143D6C" w:rsidRPr="00615304" w:rsidRDefault="00143D6C" w:rsidP="00A65D87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15304">
        <w:rPr>
          <w:rFonts w:eastAsia="Calibri"/>
          <w:sz w:val="28"/>
          <w:szCs w:val="28"/>
          <w:u w:val="single"/>
          <w:lang w:eastAsia="en-US"/>
        </w:rPr>
        <w:t xml:space="preserve">д) Нормативы технологических потерь при передаче </w:t>
      </w:r>
      <w:r w:rsidR="0035546A">
        <w:rPr>
          <w:rFonts w:eastAsia="Calibri"/>
          <w:sz w:val="28"/>
          <w:szCs w:val="28"/>
          <w:u w:val="single"/>
          <w:lang w:eastAsia="en-US"/>
        </w:rPr>
        <w:t>тепловой энергии</w:t>
      </w:r>
      <w:r w:rsidRPr="00615304">
        <w:rPr>
          <w:rFonts w:eastAsia="Calibri"/>
          <w:sz w:val="28"/>
          <w:szCs w:val="28"/>
          <w:u w:val="single"/>
          <w:lang w:eastAsia="en-US"/>
        </w:rPr>
        <w:t xml:space="preserve">, а также объем технологических потерь при передаче </w:t>
      </w:r>
      <w:r w:rsidR="0035546A">
        <w:rPr>
          <w:rFonts w:eastAsia="Calibri"/>
          <w:sz w:val="28"/>
          <w:szCs w:val="28"/>
          <w:u w:val="single"/>
          <w:lang w:eastAsia="en-US"/>
        </w:rPr>
        <w:t>тепловой энергии</w:t>
      </w:r>
      <w:r w:rsidRPr="00615304">
        <w:rPr>
          <w:rFonts w:eastAsia="Calibri"/>
          <w:sz w:val="28"/>
          <w:szCs w:val="28"/>
          <w:u w:val="single"/>
          <w:lang w:eastAsia="en-US"/>
        </w:rPr>
        <w:t>, учтенный при расчете необходимой валовой выручки:</w:t>
      </w:r>
    </w:p>
    <w:p w:rsidR="006B1EE5" w:rsidRPr="00D20B29" w:rsidRDefault="006B1EE5" w:rsidP="00A65D87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Нормативы технологических потерь при передаче тепловой энергии</w:t>
      </w:r>
      <w:r w:rsidR="00A65D87">
        <w:rPr>
          <w:rFonts w:eastAsia="Calibri"/>
          <w:sz w:val="27"/>
          <w:szCs w:val="27"/>
          <w:lang w:eastAsia="en-US"/>
        </w:rPr>
        <w:t xml:space="preserve">, теплоносителя не учтены </w:t>
      </w:r>
      <w:r w:rsidRPr="00AD5053">
        <w:rPr>
          <w:rFonts w:eastAsia="Calibri"/>
          <w:sz w:val="27"/>
          <w:szCs w:val="27"/>
          <w:lang w:eastAsia="en-US"/>
        </w:rPr>
        <w:t>при расчете необходимой валовой выручки</w:t>
      </w:r>
      <w:r w:rsidR="00A65D87">
        <w:rPr>
          <w:rFonts w:eastAsia="Calibri"/>
          <w:sz w:val="27"/>
          <w:szCs w:val="27"/>
          <w:lang w:eastAsia="en-US"/>
        </w:rPr>
        <w:t xml:space="preserve"> на услуги по передаче тепловой энергии, теплоносителя</w:t>
      </w:r>
      <w:r w:rsidRPr="00AD5053">
        <w:rPr>
          <w:rFonts w:eastAsia="Calibri"/>
          <w:sz w:val="27"/>
          <w:szCs w:val="27"/>
          <w:lang w:eastAsia="en-US"/>
        </w:rPr>
        <w:t>.</w:t>
      </w:r>
    </w:p>
    <w:p w:rsidR="00A51134" w:rsidRPr="00615304" w:rsidRDefault="00A51134" w:rsidP="00A65D87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15304">
        <w:rPr>
          <w:rFonts w:eastAsia="Calibri"/>
          <w:sz w:val="28"/>
          <w:szCs w:val="28"/>
          <w:u w:val="single"/>
          <w:lang w:eastAsia="en-US"/>
        </w:rPr>
        <w:t xml:space="preserve">е) Нормативы удельного расхода условного топлива при производстве </w:t>
      </w:r>
      <w:r w:rsidR="0035546A">
        <w:rPr>
          <w:rFonts w:eastAsia="Calibri"/>
          <w:sz w:val="28"/>
          <w:szCs w:val="28"/>
          <w:u w:val="single"/>
          <w:lang w:eastAsia="en-US"/>
        </w:rPr>
        <w:t>тепловой энергии</w:t>
      </w:r>
      <w:r w:rsidRPr="00615304">
        <w:rPr>
          <w:rFonts w:eastAsia="Calibri"/>
          <w:sz w:val="28"/>
          <w:szCs w:val="28"/>
          <w:u w:val="single"/>
          <w:lang w:eastAsia="en-US"/>
        </w:rPr>
        <w:t>, а также удельный расход условного топлива, учтенный при расчете необходимой валовой выручки:</w:t>
      </w:r>
    </w:p>
    <w:p w:rsidR="00A51134" w:rsidRPr="00615304" w:rsidRDefault="00A51134" w:rsidP="00A65D87">
      <w:pPr>
        <w:pStyle w:val="aa"/>
        <w:ind w:left="0" w:firstLine="851"/>
        <w:jc w:val="both"/>
        <w:rPr>
          <w:color w:val="000000"/>
          <w:sz w:val="28"/>
          <w:szCs w:val="28"/>
        </w:rPr>
      </w:pPr>
      <w:r w:rsidRPr="0035546A">
        <w:rPr>
          <w:color w:val="000000"/>
          <w:sz w:val="28"/>
          <w:szCs w:val="28"/>
        </w:rPr>
        <w:t xml:space="preserve">Удельный расход условного топлива </w:t>
      </w:r>
      <w:r w:rsidR="00B07C21">
        <w:rPr>
          <w:color w:val="000000"/>
          <w:sz w:val="28"/>
          <w:szCs w:val="28"/>
        </w:rPr>
        <w:t xml:space="preserve">не учтен </w:t>
      </w:r>
      <w:r w:rsidRPr="0035546A">
        <w:rPr>
          <w:color w:val="000000"/>
          <w:sz w:val="28"/>
          <w:szCs w:val="28"/>
        </w:rPr>
        <w:t>при расчете необходимой валовой выручки</w:t>
      </w:r>
      <w:r w:rsidR="00B07C21">
        <w:rPr>
          <w:color w:val="000000"/>
          <w:sz w:val="28"/>
          <w:szCs w:val="28"/>
        </w:rPr>
        <w:t>,</w:t>
      </w:r>
      <w:r w:rsidR="00B07C21" w:rsidRPr="00B07C21">
        <w:rPr>
          <w:rFonts w:eastAsia="Calibri"/>
          <w:sz w:val="27"/>
          <w:szCs w:val="27"/>
          <w:lang w:eastAsia="en-US"/>
        </w:rPr>
        <w:t xml:space="preserve"> </w:t>
      </w:r>
      <w:r w:rsidR="00B07C21" w:rsidRPr="00AD5053">
        <w:rPr>
          <w:rFonts w:eastAsia="Calibri"/>
          <w:sz w:val="27"/>
          <w:szCs w:val="27"/>
          <w:lang w:eastAsia="en-US"/>
        </w:rPr>
        <w:t>в связи с отсутствием расходов на топливо в регулируемом виде деятельности по оказанию услуг по передаче тепловой энергии, теплоносителя</w:t>
      </w:r>
      <w:r w:rsidRPr="0035546A">
        <w:rPr>
          <w:color w:val="000000"/>
          <w:sz w:val="28"/>
          <w:szCs w:val="28"/>
        </w:rPr>
        <w:t>.</w:t>
      </w:r>
    </w:p>
    <w:p w:rsidR="00A51134" w:rsidRPr="00615304" w:rsidRDefault="00A51134" w:rsidP="00A51134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15304">
        <w:rPr>
          <w:rFonts w:eastAsia="Calibri"/>
          <w:sz w:val="28"/>
          <w:szCs w:val="28"/>
          <w:u w:val="single"/>
          <w:lang w:eastAsia="en-US"/>
        </w:rPr>
        <w:t>ж) Нормативы запасов топлива на источнике тепловой энергии, учтенные при расчете необходимой валовой выручки:</w:t>
      </w:r>
    </w:p>
    <w:p w:rsidR="00A51134" w:rsidRPr="00615304" w:rsidRDefault="00A51134" w:rsidP="00A51134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304">
        <w:rPr>
          <w:rFonts w:eastAsia="Calibri"/>
          <w:sz w:val="28"/>
          <w:szCs w:val="28"/>
          <w:lang w:eastAsia="en-US"/>
        </w:rPr>
        <w:t>Нормативы запасов топлива на источнике тепловой энергии</w:t>
      </w:r>
      <w:r w:rsidRPr="00615304">
        <w:rPr>
          <w:sz w:val="28"/>
          <w:szCs w:val="28"/>
        </w:rPr>
        <w:t xml:space="preserve"> </w:t>
      </w:r>
      <w:r w:rsidRPr="00615304">
        <w:rPr>
          <w:bCs/>
          <w:spacing w:val="-8"/>
          <w:sz w:val="28"/>
          <w:szCs w:val="28"/>
        </w:rPr>
        <w:t xml:space="preserve">МУП г. Астрахани «Коммунэнерго» </w:t>
      </w:r>
      <w:r w:rsidRPr="00615304">
        <w:rPr>
          <w:rFonts w:eastAsia="Calibri"/>
          <w:sz w:val="28"/>
          <w:szCs w:val="28"/>
          <w:lang w:eastAsia="en-US"/>
        </w:rPr>
        <w:t>не учтены при расчете необходимой валовой выручки.</w:t>
      </w:r>
    </w:p>
    <w:p w:rsidR="00143D6C" w:rsidRPr="00615304" w:rsidRDefault="00143D6C" w:rsidP="00143D6C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15304">
        <w:rPr>
          <w:rFonts w:eastAsia="Calibri"/>
          <w:sz w:val="28"/>
          <w:szCs w:val="28"/>
          <w:u w:val="single"/>
          <w:lang w:eastAsia="en-US"/>
        </w:rPr>
        <w:t>з) Стоимость и сроки начала строительства (реконструкции) и ввода в эксплуатацию производственных объектов, предусмотренных утвержденной в установленном порядке инвестиционной программой регулируемой организации,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теплоснабжения:</w:t>
      </w:r>
    </w:p>
    <w:p w:rsidR="00143D6C" w:rsidRPr="00615304" w:rsidRDefault="00143D6C" w:rsidP="00143D6C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15304">
        <w:rPr>
          <w:color w:val="000000"/>
          <w:spacing w:val="-5"/>
          <w:sz w:val="28"/>
          <w:szCs w:val="28"/>
        </w:rPr>
        <w:t>МУП г. Астрахани «Коммунэнерго» (ОГРН 1023000828861)</w:t>
      </w:r>
      <w:r w:rsidRPr="00615304">
        <w:rPr>
          <w:sz w:val="28"/>
          <w:szCs w:val="28"/>
        </w:rPr>
        <w:t xml:space="preserve"> не представлена утвержденная в установленном порядке инвестиционная программа, в связи с чем стоимость и сроки начала строительства (реконструкции) и ввода в эксплуатацию производственных объектов,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теплоснабжения, не указываются.</w:t>
      </w:r>
    </w:p>
    <w:p w:rsidR="00143D6C" w:rsidRPr="00615304" w:rsidRDefault="00143D6C" w:rsidP="00143D6C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15304">
        <w:rPr>
          <w:rFonts w:eastAsia="Calibri"/>
          <w:sz w:val="28"/>
          <w:szCs w:val="28"/>
          <w:u w:val="single"/>
          <w:lang w:eastAsia="en-US"/>
        </w:rPr>
        <w:t>и) Объем незавершенных капитальных вложений:</w:t>
      </w:r>
    </w:p>
    <w:p w:rsidR="00143D6C" w:rsidRPr="00615304" w:rsidRDefault="00143D6C" w:rsidP="00143D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>В соответствии с п</w:t>
      </w:r>
      <w:r w:rsidR="0002547C" w:rsidRPr="00615304">
        <w:rPr>
          <w:sz w:val="28"/>
          <w:szCs w:val="28"/>
        </w:rPr>
        <w:t>унктом</w:t>
      </w:r>
      <w:r w:rsidRPr="00615304">
        <w:rPr>
          <w:sz w:val="28"/>
          <w:szCs w:val="28"/>
        </w:rPr>
        <w:t xml:space="preserve"> 28 Методических указаний капитальные вложения (инвестиции) определяются на основе утвержденных в установленном порядке инвестиционных программ регулируемой организации.</w:t>
      </w:r>
    </w:p>
    <w:p w:rsidR="00143D6C" w:rsidRPr="00615304" w:rsidRDefault="00143D6C" w:rsidP="00143D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15304">
        <w:rPr>
          <w:color w:val="000000"/>
          <w:spacing w:val="-5"/>
          <w:sz w:val="28"/>
          <w:szCs w:val="28"/>
        </w:rPr>
        <w:t>МУП г. Астрахани «Коммунэнерго» (ОГРН 1023000828861)</w:t>
      </w:r>
      <w:r w:rsidRPr="00615304">
        <w:rPr>
          <w:sz w:val="28"/>
          <w:szCs w:val="28"/>
        </w:rPr>
        <w:t xml:space="preserve"> не представлена утвержденная в установленном порядке инвестиционная программа, в связи с </w:t>
      </w:r>
      <w:r w:rsidRPr="00615304">
        <w:rPr>
          <w:sz w:val="28"/>
          <w:szCs w:val="28"/>
        </w:rPr>
        <w:lastRenderedPageBreak/>
        <w:t xml:space="preserve">чем информация об объемах незавершенных капитальных вложений </w:t>
      </w:r>
      <w:r w:rsidRPr="00615304">
        <w:rPr>
          <w:color w:val="000000"/>
          <w:spacing w:val="-5"/>
          <w:sz w:val="28"/>
          <w:szCs w:val="28"/>
        </w:rPr>
        <w:t>МУП г. Астрахани «Коммунэнерго» (ОГРН 1023000828861)</w:t>
      </w:r>
      <w:r w:rsidRPr="00615304">
        <w:rPr>
          <w:sz w:val="28"/>
          <w:szCs w:val="28"/>
        </w:rPr>
        <w:t xml:space="preserve"> отсутствует.</w:t>
      </w:r>
    </w:p>
    <w:p w:rsidR="00143D6C" w:rsidRPr="00615304" w:rsidRDefault="00143D6C" w:rsidP="00143D6C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615304">
        <w:rPr>
          <w:rFonts w:eastAsia="Calibri"/>
          <w:sz w:val="28"/>
          <w:szCs w:val="28"/>
          <w:u w:val="single"/>
          <w:lang w:eastAsia="en-US"/>
        </w:rPr>
        <w:t>к) Перечень параметров, учтенных при корректировке необходимой валовой выручки регулируемой организации, в отношении которой применяется метод обеспечения доходности инвестированного капитала, с указанием величины и порядка расчетов указанных параметров:</w:t>
      </w:r>
    </w:p>
    <w:p w:rsidR="0002547C" w:rsidRPr="00615304" w:rsidRDefault="00143D6C" w:rsidP="0002547C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15304">
        <w:rPr>
          <w:rFonts w:eastAsia="Calibri"/>
          <w:sz w:val="28"/>
          <w:szCs w:val="28"/>
          <w:lang w:eastAsia="en-US"/>
        </w:rPr>
        <w:t xml:space="preserve">Учитывая, что при государственном регулировании тарифов </w:t>
      </w:r>
      <w:r w:rsidR="00D20B29" w:rsidRPr="00615304">
        <w:rPr>
          <w:rFonts w:eastAsia="Calibri"/>
          <w:sz w:val="28"/>
          <w:szCs w:val="28"/>
          <w:lang w:eastAsia="en-US"/>
        </w:rPr>
        <w:t xml:space="preserve">на </w:t>
      </w:r>
      <w:r w:rsidR="004F7C23">
        <w:rPr>
          <w:rFonts w:eastAsia="Calibri"/>
          <w:sz w:val="28"/>
          <w:szCs w:val="28"/>
          <w:lang w:eastAsia="en-US"/>
        </w:rPr>
        <w:t>услуг</w:t>
      </w:r>
      <w:r w:rsidR="00B07C21">
        <w:rPr>
          <w:rFonts w:eastAsia="Calibri"/>
          <w:sz w:val="28"/>
          <w:szCs w:val="28"/>
          <w:lang w:eastAsia="en-US"/>
        </w:rPr>
        <w:t>и по передаче тепловой энергии,</w:t>
      </w:r>
      <w:r w:rsidR="004F7C23">
        <w:rPr>
          <w:rFonts w:eastAsia="Calibri"/>
          <w:sz w:val="28"/>
          <w:szCs w:val="28"/>
          <w:lang w:eastAsia="en-US"/>
        </w:rPr>
        <w:t xml:space="preserve"> теплоносителя</w:t>
      </w:r>
      <w:r w:rsidR="00D20B29" w:rsidRPr="00615304">
        <w:rPr>
          <w:rFonts w:eastAsia="Calibri"/>
          <w:sz w:val="28"/>
          <w:szCs w:val="28"/>
          <w:lang w:eastAsia="en-US"/>
        </w:rPr>
        <w:t xml:space="preserve"> МУП г. Астрахани «Коммунэнерго» (ОГРН 1023000828861)</w:t>
      </w:r>
      <w:r w:rsidR="0002547C" w:rsidRPr="00615304">
        <w:rPr>
          <w:rFonts w:eastAsia="Calibri"/>
          <w:sz w:val="28"/>
          <w:szCs w:val="28"/>
          <w:lang w:eastAsia="en-US"/>
        </w:rPr>
        <w:t xml:space="preserve"> на </w:t>
      </w:r>
      <w:r w:rsidRPr="00615304">
        <w:rPr>
          <w:rFonts w:eastAsia="Calibri"/>
          <w:sz w:val="28"/>
          <w:szCs w:val="28"/>
          <w:lang w:eastAsia="en-US"/>
        </w:rPr>
        <w:t>20</w:t>
      </w:r>
      <w:r w:rsidR="0002547C" w:rsidRPr="00615304">
        <w:rPr>
          <w:rFonts w:eastAsia="Calibri"/>
          <w:sz w:val="28"/>
          <w:szCs w:val="28"/>
          <w:lang w:eastAsia="en-US"/>
        </w:rPr>
        <w:t>2</w:t>
      </w:r>
      <w:r w:rsidR="00DE7F7F">
        <w:rPr>
          <w:rFonts w:eastAsia="Calibri"/>
          <w:sz w:val="28"/>
          <w:szCs w:val="28"/>
          <w:lang w:eastAsia="en-US"/>
        </w:rPr>
        <w:t>1</w:t>
      </w:r>
      <w:r w:rsidRPr="00615304">
        <w:rPr>
          <w:rFonts w:eastAsia="Calibri"/>
          <w:sz w:val="28"/>
          <w:szCs w:val="28"/>
          <w:lang w:eastAsia="en-US"/>
        </w:rPr>
        <w:t xml:space="preserve"> год </w:t>
      </w:r>
      <w:r w:rsidR="0002547C" w:rsidRPr="00615304">
        <w:rPr>
          <w:rFonts w:eastAsia="Calibri"/>
          <w:sz w:val="28"/>
          <w:szCs w:val="28"/>
          <w:lang w:eastAsia="en-US"/>
        </w:rPr>
        <w:t>не применяется метод обеспечения доходности инвестированного капитала, перечень параметров, учитываемых при корректировке необходимой валовой выручки регулируемой организации, не приводится.</w:t>
      </w:r>
    </w:p>
    <w:p w:rsidR="0002547C" w:rsidRPr="00615304" w:rsidRDefault="0002547C" w:rsidP="0002547C">
      <w:pPr>
        <w:tabs>
          <w:tab w:val="left" w:pos="9000"/>
        </w:tabs>
        <w:ind w:firstLine="851"/>
        <w:jc w:val="both"/>
        <w:rPr>
          <w:bCs/>
          <w:sz w:val="28"/>
          <w:szCs w:val="28"/>
        </w:rPr>
      </w:pPr>
      <w:r w:rsidRPr="00615304">
        <w:rPr>
          <w:bCs/>
          <w:sz w:val="28"/>
          <w:szCs w:val="28"/>
        </w:rPr>
        <w:t>Возражений и замечаний от члена коллегии с правом совещательного голоса Иванова И.А. не поступало.</w:t>
      </w:r>
    </w:p>
    <w:p w:rsidR="0002547C" w:rsidRPr="00615304" w:rsidRDefault="0002547C" w:rsidP="0002547C">
      <w:pPr>
        <w:tabs>
          <w:tab w:val="left" w:pos="9000"/>
        </w:tabs>
        <w:ind w:firstLine="851"/>
        <w:jc w:val="both"/>
        <w:rPr>
          <w:color w:val="000000"/>
          <w:sz w:val="28"/>
          <w:szCs w:val="28"/>
        </w:rPr>
      </w:pPr>
      <w:r w:rsidRPr="00615304">
        <w:rPr>
          <w:sz w:val="28"/>
          <w:szCs w:val="28"/>
        </w:rPr>
        <w:t xml:space="preserve">С результатами экспертного заключения и проектом постановления специалисты ресурсоснабжающей организации </w:t>
      </w:r>
      <w:r w:rsidRPr="00615304">
        <w:rPr>
          <w:color w:val="000000"/>
          <w:sz w:val="28"/>
          <w:szCs w:val="28"/>
        </w:rPr>
        <w:t xml:space="preserve">ознакомлены </w:t>
      </w:r>
      <w:r w:rsidR="00DE7F7F">
        <w:rPr>
          <w:color w:val="000000"/>
          <w:sz w:val="28"/>
          <w:szCs w:val="28"/>
        </w:rPr>
        <w:t>0</w:t>
      </w:r>
      <w:r w:rsidR="00E24FFC">
        <w:rPr>
          <w:color w:val="000000"/>
          <w:sz w:val="28"/>
          <w:szCs w:val="28"/>
        </w:rPr>
        <w:t>2</w:t>
      </w:r>
      <w:r w:rsidRPr="00615304">
        <w:rPr>
          <w:color w:val="000000"/>
          <w:sz w:val="28"/>
          <w:szCs w:val="28"/>
        </w:rPr>
        <w:t>.11.20</w:t>
      </w:r>
      <w:r w:rsidR="00DE7F7F">
        <w:rPr>
          <w:color w:val="000000"/>
          <w:sz w:val="28"/>
          <w:szCs w:val="28"/>
        </w:rPr>
        <w:t>20</w:t>
      </w:r>
      <w:r w:rsidRPr="00615304">
        <w:rPr>
          <w:color w:val="000000"/>
          <w:sz w:val="28"/>
          <w:szCs w:val="28"/>
        </w:rPr>
        <w:t>».</w:t>
      </w:r>
    </w:p>
    <w:p w:rsidR="0002547C" w:rsidRPr="00615304" w:rsidRDefault="0002547C" w:rsidP="0002547C">
      <w:pPr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>Уполномоченный по делу огласил проект постановления.</w:t>
      </w:r>
    </w:p>
    <w:p w:rsidR="00615304" w:rsidRDefault="00615304" w:rsidP="00143D6C">
      <w:pPr>
        <w:rPr>
          <w:b/>
          <w:sz w:val="28"/>
          <w:szCs w:val="28"/>
        </w:rPr>
      </w:pPr>
    </w:p>
    <w:p w:rsidR="00143D6C" w:rsidRPr="00615304" w:rsidRDefault="00143D6C" w:rsidP="00143D6C">
      <w:pPr>
        <w:rPr>
          <w:b/>
          <w:sz w:val="28"/>
          <w:szCs w:val="28"/>
        </w:rPr>
      </w:pPr>
      <w:r w:rsidRPr="00615304">
        <w:rPr>
          <w:b/>
          <w:sz w:val="28"/>
          <w:szCs w:val="28"/>
        </w:rPr>
        <w:t>ВЫСТУПИЛИ:</w:t>
      </w:r>
    </w:p>
    <w:p w:rsidR="00143D6C" w:rsidRPr="00615304" w:rsidRDefault="0002547C" w:rsidP="00143D6C">
      <w:pPr>
        <w:ind w:firstLine="851"/>
        <w:jc w:val="both"/>
        <w:rPr>
          <w:sz w:val="28"/>
          <w:szCs w:val="28"/>
        </w:rPr>
      </w:pPr>
      <w:r w:rsidRPr="00615304">
        <w:rPr>
          <w:b/>
          <w:sz w:val="28"/>
          <w:szCs w:val="28"/>
        </w:rPr>
        <w:t>Степанищева О.В.</w:t>
      </w:r>
      <w:r w:rsidR="00143D6C" w:rsidRPr="00615304">
        <w:rPr>
          <w:b/>
          <w:sz w:val="28"/>
          <w:szCs w:val="28"/>
        </w:rPr>
        <w:t xml:space="preserve"> </w:t>
      </w:r>
      <w:r w:rsidR="00143D6C" w:rsidRPr="00615304">
        <w:rPr>
          <w:sz w:val="28"/>
          <w:szCs w:val="28"/>
        </w:rPr>
        <w:t xml:space="preserve"> предложила согласиться с экспертным заключением и провести голосование по вопросу установления </w:t>
      </w:r>
      <w:r w:rsidR="00325529" w:rsidRPr="00615304">
        <w:rPr>
          <w:sz w:val="28"/>
          <w:szCs w:val="28"/>
        </w:rPr>
        <w:t xml:space="preserve">(корректировки) </w:t>
      </w:r>
      <w:r w:rsidR="00143D6C" w:rsidRPr="00615304">
        <w:rPr>
          <w:sz w:val="28"/>
          <w:szCs w:val="28"/>
        </w:rPr>
        <w:t xml:space="preserve">тарифов на </w:t>
      </w:r>
      <w:r w:rsidR="004F7C23">
        <w:rPr>
          <w:rFonts w:eastAsia="Calibri"/>
          <w:sz w:val="28"/>
          <w:szCs w:val="28"/>
          <w:lang w:eastAsia="en-US"/>
        </w:rPr>
        <w:t>услуги</w:t>
      </w:r>
      <w:r w:rsidR="00A43C63">
        <w:rPr>
          <w:rFonts w:eastAsia="Calibri"/>
          <w:sz w:val="28"/>
          <w:szCs w:val="28"/>
          <w:lang w:eastAsia="en-US"/>
        </w:rPr>
        <w:t xml:space="preserve"> по передаче тепловой энергии, </w:t>
      </w:r>
      <w:r w:rsidR="004F7C23">
        <w:rPr>
          <w:rFonts w:eastAsia="Calibri"/>
          <w:sz w:val="28"/>
          <w:szCs w:val="28"/>
          <w:lang w:eastAsia="en-US"/>
        </w:rPr>
        <w:t>теплоносителя</w:t>
      </w:r>
      <w:r w:rsidR="00D20B29" w:rsidRPr="00615304">
        <w:rPr>
          <w:rFonts w:eastAsia="Calibri"/>
          <w:sz w:val="28"/>
          <w:szCs w:val="28"/>
          <w:lang w:eastAsia="en-US"/>
        </w:rPr>
        <w:t xml:space="preserve"> МУП г. Астрахани «Коммунэнерго» (ОГРН 1023000828861)</w:t>
      </w:r>
      <w:r w:rsidR="00143D6C" w:rsidRPr="00615304">
        <w:rPr>
          <w:sz w:val="28"/>
          <w:szCs w:val="28"/>
        </w:rPr>
        <w:t>, в соответствии с расчетами, выполненными экспертной группой.</w:t>
      </w:r>
    </w:p>
    <w:p w:rsidR="00143D6C" w:rsidRPr="00615304" w:rsidRDefault="00143D6C" w:rsidP="00143D6C">
      <w:pPr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>Голосовали: «За» - единогласно.</w:t>
      </w:r>
    </w:p>
    <w:p w:rsidR="00615304" w:rsidRDefault="00615304" w:rsidP="00143D6C">
      <w:pPr>
        <w:pStyle w:val="a4"/>
        <w:spacing w:after="0"/>
        <w:jc w:val="both"/>
        <w:rPr>
          <w:b/>
          <w:sz w:val="28"/>
          <w:szCs w:val="28"/>
        </w:rPr>
      </w:pPr>
    </w:p>
    <w:p w:rsidR="00143D6C" w:rsidRPr="00615304" w:rsidRDefault="00143D6C" w:rsidP="00143D6C">
      <w:pPr>
        <w:pStyle w:val="a4"/>
        <w:spacing w:after="0"/>
        <w:jc w:val="both"/>
        <w:rPr>
          <w:b/>
          <w:sz w:val="28"/>
          <w:szCs w:val="28"/>
        </w:rPr>
      </w:pPr>
      <w:r w:rsidRPr="00615304">
        <w:rPr>
          <w:b/>
          <w:sz w:val="28"/>
          <w:szCs w:val="28"/>
        </w:rPr>
        <w:t>ПОСТАНОВИЛИ:</w:t>
      </w:r>
    </w:p>
    <w:p w:rsidR="003204B4" w:rsidRPr="00615304" w:rsidRDefault="003204B4" w:rsidP="003204B4">
      <w:pPr>
        <w:tabs>
          <w:tab w:val="left" w:pos="-426"/>
          <w:tab w:val="right" w:pos="10773"/>
        </w:tabs>
        <w:ind w:firstLine="851"/>
        <w:jc w:val="both"/>
        <w:rPr>
          <w:sz w:val="28"/>
          <w:szCs w:val="28"/>
        </w:rPr>
      </w:pPr>
      <w:r w:rsidRPr="00615304">
        <w:rPr>
          <w:sz w:val="28"/>
          <w:szCs w:val="28"/>
        </w:rPr>
        <w:t>1. Внести в постановление службы по тарифам Астраханской области от 30.11.2018 № 6</w:t>
      </w:r>
      <w:r w:rsidR="004B69B4">
        <w:rPr>
          <w:sz w:val="28"/>
          <w:szCs w:val="28"/>
        </w:rPr>
        <w:t>3</w:t>
      </w:r>
      <w:r w:rsidRPr="00615304">
        <w:rPr>
          <w:sz w:val="28"/>
          <w:szCs w:val="28"/>
        </w:rPr>
        <w:t xml:space="preserve"> «</w:t>
      </w:r>
      <w:r w:rsidR="00B07C21">
        <w:rPr>
          <w:sz w:val="28"/>
          <w:szCs w:val="28"/>
        </w:rPr>
        <w:t xml:space="preserve">Об установлении </w:t>
      </w:r>
      <w:r w:rsidR="00B07C21" w:rsidRPr="00497D41">
        <w:rPr>
          <w:sz w:val="28"/>
          <w:szCs w:val="28"/>
        </w:rPr>
        <w:t>МУП г. Астрахани «Коммунэнерго» (ОГРН 1023000828861)</w:t>
      </w:r>
      <w:r w:rsidR="00B07C21">
        <w:rPr>
          <w:sz w:val="28"/>
          <w:szCs w:val="28"/>
        </w:rPr>
        <w:t xml:space="preserve"> тарифов на услуги по передаче тепловой энергии, теплоносителя</w:t>
      </w:r>
      <w:r w:rsidRPr="00615304">
        <w:rPr>
          <w:sz w:val="28"/>
          <w:szCs w:val="28"/>
        </w:rPr>
        <w:t>» изменение, изложив приложение № 1 к постановлению в новой редакции согласно приложению к проекту постановления.</w:t>
      </w:r>
    </w:p>
    <w:p w:rsidR="00DE7F7F" w:rsidRPr="00421210" w:rsidRDefault="00DE7F7F" w:rsidP="00DE7F7F">
      <w:pPr>
        <w:tabs>
          <w:tab w:val="left" w:pos="-426"/>
          <w:tab w:val="right" w:pos="1077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21210">
        <w:rPr>
          <w:sz w:val="28"/>
          <w:szCs w:val="28"/>
        </w:rPr>
        <w:t xml:space="preserve">Признать утратившим силу постановление службы по тарифам Астраханской области </w:t>
      </w:r>
      <w:r w:rsidR="00D96745" w:rsidRPr="00D96745">
        <w:rPr>
          <w:sz w:val="28"/>
          <w:szCs w:val="28"/>
        </w:rPr>
        <w:t>от 21.11.2019 № 77 «О внесении изменения в постановление службы по тарифам Астраханской области от 30.11.2018 № 63</w:t>
      </w:r>
      <w:r w:rsidRPr="00421210">
        <w:rPr>
          <w:sz w:val="28"/>
          <w:szCs w:val="28"/>
        </w:rPr>
        <w:t>»</w:t>
      </w:r>
      <w:r w:rsidRPr="00421210">
        <w:rPr>
          <w:color w:val="000000"/>
          <w:spacing w:val="-5"/>
          <w:sz w:val="28"/>
          <w:szCs w:val="28"/>
        </w:rPr>
        <w:t>.</w:t>
      </w:r>
    </w:p>
    <w:p w:rsidR="00DE7F7F" w:rsidRPr="00615304" w:rsidRDefault="00DE7F7F" w:rsidP="00DE7F7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15304">
        <w:rPr>
          <w:sz w:val="28"/>
          <w:szCs w:val="28"/>
        </w:rPr>
        <w:t>. 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DE7F7F" w:rsidRPr="00615304" w:rsidRDefault="00DE7F7F" w:rsidP="00DE7F7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15304">
        <w:rPr>
          <w:sz w:val="28"/>
          <w:szCs w:val="28"/>
        </w:rPr>
        <w:t xml:space="preserve">.1. В срок не позднее трех рабочих дней со дня подписания направить копию постановления в </w:t>
      </w:r>
      <w:r w:rsidR="00E533E1" w:rsidRPr="004B49DE">
        <w:rPr>
          <w:sz w:val="28"/>
          <w:szCs w:val="28"/>
        </w:rPr>
        <w:t>министерство государственного управления, информационных технологий и связи Астраханской</w:t>
      </w:r>
      <w:r w:rsidR="00E533E1" w:rsidRPr="004B49DE">
        <w:rPr>
          <w:i/>
          <w:iCs/>
          <w:sz w:val="28"/>
          <w:szCs w:val="28"/>
        </w:rPr>
        <w:t xml:space="preserve"> </w:t>
      </w:r>
      <w:r w:rsidR="00E533E1" w:rsidRPr="004B49DE">
        <w:rPr>
          <w:sz w:val="28"/>
          <w:szCs w:val="28"/>
        </w:rPr>
        <w:t>области для официального опубликования</w:t>
      </w:r>
      <w:r w:rsidRPr="00615304">
        <w:rPr>
          <w:sz w:val="28"/>
          <w:szCs w:val="28"/>
        </w:rPr>
        <w:t>.</w:t>
      </w:r>
    </w:p>
    <w:p w:rsidR="00DE7F7F" w:rsidRPr="00615304" w:rsidRDefault="00DE7F7F" w:rsidP="00DE7F7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15304">
        <w:rPr>
          <w:sz w:val="28"/>
          <w:szCs w:val="28"/>
        </w:rPr>
        <w:t>.2. Не позднее семи рабочих дней со дня подписания направить копию постановления в прокуратуру Астраханской области.</w:t>
      </w:r>
    </w:p>
    <w:p w:rsidR="00DE7F7F" w:rsidRPr="00615304" w:rsidRDefault="00DE7F7F" w:rsidP="00DE7F7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15304">
        <w:rPr>
          <w:sz w:val="28"/>
          <w:szCs w:val="28"/>
        </w:rPr>
        <w:t>.3. В семидневный срок после дня первого официального опубликования направить копию постановления, а также сведения об источниках его официаль</w:t>
      </w:r>
      <w:r w:rsidRPr="00615304">
        <w:rPr>
          <w:sz w:val="28"/>
          <w:szCs w:val="28"/>
        </w:rPr>
        <w:lastRenderedPageBreak/>
        <w:t>ного опубликования в Управление Министерства юстиции Российской Федерации по Астраханской области.</w:t>
      </w:r>
    </w:p>
    <w:p w:rsidR="00DE7F7F" w:rsidRPr="00615304" w:rsidRDefault="00DE7F7F" w:rsidP="00DE7F7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15304">
        <w:rPr>
          <w:sz w:val="28"/>
          <w:szCs w:val="28"/>
        </w:rPr>
        <w:t xml:space="preserve">.4. 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</w:t>
      </w:r>
      <w:r w:rsidRPr="00615304">
        <w:rPr>
          <w:color w:val="000000"/>
          <w:spacing w:val="-5"/>
          <w:sz w:val="28"/>
          <w:szCs w:val="28"/>
        </w:rPr>
        <w:t>МУП г. Астрахани «Коммунэнерго» (ОГРН 1023000828861)</w:t>
      </w:r>
      <w:r w:rsidRPr="00615304">
        <w:rPr>
          <w:sz w:val="28"/>
          <w:szCs w:val="28"/>
        </w:rPr>
        <w:t xml:space="preserve"> почтовым отправлением с уведомлением о вручении и в электронном виде.</w:t>
      </w:r>
    </w:p>
    <w:p w:rsidR="00DE7F7F" w:rsidRPr="00615304" w:rsidRDefault="00DE7F7F" w:rsidP="00DE7F7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15304">
        <w:rPr>
          <w:sz w:val="28"/>
          <w:szCs w:val="28"/>
        </w:rPr>
        <w:t>.5. 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ФАС России простым почтовым отправлением и в электронном виде.</w:t>
      </w:r>
    </w:p>
    <w:p w:rsidR="00DE7F7F" w:rsidRPr="00615304" w:rsidRDefault="00DE7F7F" w:rsidP="00DE7F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15304">
        <w:rPr>
          <w:sz w:val="28"/>
          <w:szCs w:val="28"/>
        </w:rPr>
        <w:t>.6. В течение 5 календарных дней со дня принятия разместить постановление с приложением настоящего протокола заседания коллегии службы по тарифам Астраханской области на официальном сайте службы по тарифам Астраханской области в информационно-телекоммуникационной сети «Интернет» (</w:t>
      </w:r>
      <w:hyperlink r:id="rId9" w:history="1">
        <w:r w:rsidRPr="00615304">
          <w:rPr>
            <w:color w:val="0000FF"/>
            <w:sz w:val="28"/>
            <w:szCs w:val="28"/>
            <w:lang w:val="en-US"/>
          </w:rPr>
          <w:t>http</w:t>
        </w:r>
        <w:r w:rsidRPr="00615304">
          <w:rPr>
            <w:color w:val="0000FF"/>
            <w:sz w:val="28"/>
            <w:szCs w:val="28"/>
          </w:rPr>
          <w:t>://astrtarif.ru</w:t>
        </w:r>
      </w:hyperlink>
      <w:r w:rsidRPr="00615304">
        <w:rPr>
          <w:sz w:val="28"/>
          <w:szCs w:val="28"/>
        </w:rPr>
        <w:t>).</w:t>
      </w:r>
    </w:p>
    <w:p w:rsidR="00DE7F7F" w:rsidRPr="00615304" w:rsidRDefault="00DE7F7F" w:rsidP="00DE7F7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15304">
        <w:rPr>
          <w:sz w:val="28"/>
          <w:szCs w:val="28"/>
        </w:rPr>
        <w:t>.7. 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</w:p>
    <w:p w:rsidR="00DE7F7F" w:rsidRPr="00615304" w:rsidRDefault="00DE7F7F" w:rsidP="00DE7F7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E7F7F" w:rsidRDefault="00DE7F7F" w:rsidP="00DE7F7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122C78" w:rsidRPr="00615304" w:rsidRDefault="00122C78" w:rsidP="00DE7F7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-142" w:tblpY="187"/>
        <w:tblW w:w="10173" w:type="dxa"/>
        <w:tblLook w:val="04A0" w:firstRow="1" w:lastRow="0" w:firstColumn="1" w:lastColumn="0" w:noHBand="0" w:noVBand="1"/>
      </w:tblPr>
      <w:tblGrid>
        <w:gridCol w:w="4397"/>
        <w:gridCol w:w="5776"/>
      </w:tblGrid>
      <w:tr w:rsidR="00DE7F7F" w:rsidRPr="00615304" w:rsidTr="004A7E3E">
        <w:trPr>
          <w:trHeight w:val="1130"/>
        </w:trPr>
        <w:tc>
          <w:tcPr>
            <w:tcW w:w="4397" w:type="dxa"/>
          </w:tcPr>
          <w:p w:rsidR="00DE7F7F" w:rsidRDefault="00DE7F7F" w:rsidP="001E0375">
            <w:pPr>
              <w:pStyle w:val="af"/>
              <w:spacing w:before="120" w:after="0"/>
              <w:ind w:left="0" w:right="-185"/>
              <w:rPr>
                <w:b/>
                <w:sz w:val="28"/>
                <w:szCs w:val="28"/>
              </w:rPr>
            </w:pPr>
            <w:r w:rsidRPr="00615304">
              <w:rPr>
                <w:b/>
                <w:sz w:val="28"/>
                <w:szCs w:val="28"/>
              </w:rPr>
              <w:t>Председатель</w:t>
            </w:r>
          </w:p>
          <w:p w:rsidR="00DE7F7F" w:rsidRPr="00615304" w:rsidRDefault="00DE7F7F" w:rsidP="001E0375">
            <w:pPr>
              <w:pStyle w:val="af"/>
              <w:spacing w:before="120" w:after="0"/>
              <w:ind w:left="0"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5776" w:type="dxa"/>
          </w:tcPr>
          <w:p w:rsidR="00DE7F7F" w:rsidRDefault="00DE7F7F" w:rsidP="001E0375">
            <w:pPr>
              <w:pStyle w:val="af"/>
              <w:spacing w:before="120" w:after="0"/>
              <w:ind w:right="-1"/>
              <w:jc w:val="right"/>
              <w:rPr>
                <w:b/>
                <w:sz w:val="28"/>
                <w:szCs w:val="28"/>
              </w:rPr>
            </w:pPr>
            <w:r w:rsidRPr="00615304">
              <w:rPr>
                <w:b/>
                <w:sz w:val="28"/>
                <w:szCs w:val="28"/>
              </w:rPr>
              <w:t>О.В. Степанищева</w:t>
            </w:r>
          </w:p>
          <w:p w:rsidR="00DE7F7F" w:rsidRPr="00615304" w:rsidRDefault="00DE7F7F" w:rsidP="001E0375">
            <w:pPr>
              <w:pStyle w:val="af"/>
              <w:spacing w:before="120" w:after="0"/>
              <w:ind w:right="-1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  <w:p w:rsidR="00DE7F7F" w:rsidRPr="00615304" w:rsidRDefault="00DE7F7F" w:rsidP="001E0375">
            <w:pPr>
              <w:pStyle w:val="af"/>
              <w:spacing w:before="120" w:after="0"/>
              <w:ind w:right="-1"/>
              <w:jc w:val="right"/>
              <w:rPr>
                <w:b/>
                <w:sz w:val="28"/>
                <w:szCs w:val="28"/>
              </w:rPr>
            </w:pPr>
          </w:p>
        </w:tc>
      </w:tr>
      <w:tr w:rsidR="00DE7F7F" w:rsidRPr="00615304" w:rsidTr="004A7E3E">
        <w:trPr>
          <w:trHeight w:val="1362"/>
        </w:trPr>
        <w:tc>
          <w:tcPr>
            <w:tcW w:w="4397" w:type="dxa"/>
          </w:tcPr>
          <w:p w:rsidR="00DE7F7F" w:rsidRPr="00615304" w:rsidRDefault="00DE7F7F" w:rsidP="001E0375">
            <w:pPr>
              <w:pStyle w:val="af"/>
              <w:spacing w:after="0" w:line="360" w:lineRule="auto"/>
              <w:ind w:left="0" w:right="-185"/>
              <w:rPr>
                <w:b/>
                <w:sz w:val="28"/>
                <w:szCs w:val="28"/>
              </w:rPr>
            </w:pPr>
            <w:r w:rsidRPr="00615304">
              <w:rPr>
                <w:b/>
                <w:sz w:val="28"/>
                <w:szCs w:val="28"/>
              </w:rPr>
              <w:t>Члены коллегии</w:t>
            </w:r>
            <w:r w:rsidRPr="00615304">
              <w:rPr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5776" w:type="dxa"/>
          </w:tcPr>
          <w:p w:rsidR="00DE7F7F" w:rsidRDefault="00DE7F7F" w:rsidP="001E0375">
            <w:pPr>
              <w:pStyle w:val="af"/>
              <w:spacing w:after="0" w:line="360" w:lineRule="auto"/>
              <w:ind w:left="0" w:firstLine="72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Д.В. Луковников</w:t>
            </w:r>
          </w:p>
          <w:p w:rsidR="00DE7F7F" w:rsidRDefault="00DE7F7F" w:rsidP="001E0375">
            <w:pPr>
              <w:pStyle w:val="af"/>
              <w:spacing w:after="0" w:line="360" w:lineRule="auto"/>
              <w:ind w:left="0" w:firstLine="720"/>
              <w:jc w:val="right"/>
              <w:rPr>
                <w:b/>
                <w:sz w:val="28"/>
                <w:szCs w:val="28"/>
              </w:rPr>
            </w:pPr>
            <w:r w:rsidRPr="00615304">
              <w:rPr>
                <w:b/>
                <w:sz w:val="28"/>
                <w:szCs w:val="28"/>
              </w:rPr>
              <w:t>О.А. Бронникова</w:t>
            </w:r>
          </w:p>
          <w:p w:rsidR="00DE7F7F" w:rsidRPr="00615304" w:rsidRDefault="00122C78" w:rsidP="001E0375">
            <w:pPr>
              <w:pStyle w:val="af"/>
              <w:spacing w:after="0" w:line="360" w:lineRule="auto"/>
              <w:ind w:left="0" w:firstLine="72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Н.И. Чунакова</w:t>
            </w:r>
          </w:p>
        </w:tc>
      </w:tr>
      <w:tr w:rsidR="00DE7F7F" w:rsidRPr="00615304" w:rsidTr="001E0375">
        <w:trPr>
          <w:trHeight w:val="559"/>
        </w:trPr>
        <w:tc>
          <w:tcPr>
            <w:tcW w:w="4397" w:type="dxa"/>
          </w:tcPr>
          <w:p w:rsidR="00DE7F7F" w:rsidRPr="00615304" w:rsidRDefault="00DE7F7F" w:rsidP="001E0375">
            <w:pPr>
              <w:pStyle w:val="af"/>
              <w:spacing w:after="0" w:line="360" w:lineRule="auto"/>
              <w:ind w:left="0" w:right="-185"/>
              <w:rPr>
                <w:b/>
                <w:sz w:val="28"/>
                <w:szCs w:val="28"/>
              </w:rPr>
            </w:pPr>
            <w:r w:rsidRPr="00615304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5776" w:type="dxa"/>
          </w:tcPr>
          <w:p w:rsidR="00DE7F7F" w:rsidRPr="00615304" w:rsidRDefault="00DE7F7F" w:rsidP="001E0375">
            <w:pPr>
              <w:pStyle w:val="af"/>
              <w:spacing w:after="0" w:line="360" w:lineRule="auto"/>
              <w:ind w:left="0" w:firstLine="72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Н.Н. Абъятанова</w:t>
            </w:r>
          </w:p>
        </w:tc>
      </w:tr>
    </w:tbl>
    <w:p w:rsidR="00A4240A" w:rsidRPr="00790550" w:rsidRDefault="00A4240A" w:rsidP="00DE7F7F">
      <w:pPr>
        <w:ind w:firstLine="709"/>
        <w:jc w:val="both"/>
        <w:rPr>
          <w:sz w:val="27"/>
          <w:szCs w:val="27"/>
        </w:rPr>
      </w:pPr>
    </w:p>
    <w:sectPr w:rsidR="00A4240A" w:rsidRPr="00790550" w:rsidSect="00615304">
      <w:headerReference w:type="even" r:id="rId10"/>
      <w:headerReference w:type="default" r:id="rId11"/>
      <w:headerReference w:type="first" r:id="rId12"/>
      <w:pgSz w:w="11906" w:h="16838"/>
      <w:pgMar w:top="709" w:right="567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7F7" w:rsidRDefault="00F577F7">
      <w:r>
        <w:separator/>
      </w:r>
    </w:p>
  </w:endnote>
  <w:endnote w:type="continuationSeparator" w:id="0">
    <w:p w:rsidR="00F577F7" w:rsidRDefault="00F57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7F7" w:rsidRDefault="00F577F7">
      <w:r>
        <w:separator/>
      </w:r>
    </w:p>
  </w:footnote>
  <w:footnote w:type="continuationSeparator" w:id="0">
    <w:p w:rsidR="00F577F7" w:rsidRDefault="00F577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3FE" w:rsidRDefault="000E4FA4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E13F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E13FE">
      <w:rPr>
        <w:rStyle w:val="a9"/>
        <w:noProof/>
      </w:rPr>
      <w:t>6</w:t>
    </w:r>
    <w:r>
      <w:rPr>
        <w:rStyle w:val="a9"/>
      </w:rPr>
      <w:fldChar w:fldCharType="end"/>
    </w:r>
  </w:p>
  <w:p w:rsidR="005E13FE" w:rsidRDefault="005E13F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3FE" w:rsidRPr="009201B2" w:rsidRDefault="000E4FA4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5E13FE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4A7E3E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5E13FE" w:rsidRDefault="005E13F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BEC" w:rsidRDefault="009C1BEC">
    <w:pPr>
      <w:pStyle w:val="a8"/>
    </w:pPr>
    <w: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550FB"/>
    <w:multiLevelType w:val="hybridMultilevel"/>
    <w:tmpl w:val="1108D6D4"/>
    <w:lvl w:ilvl="0" w:tplc="897E08E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07237787"/>
    <w:multiLevelType w:val="hybridMultilevel"/>
    <w:tmpl w:val="4ECE98AA"/>
    <w:lvl w:ilvl="0" w:tplc="69A2FF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FB24520"/>
    <w:multiLevelType w:val="hybridMultilevel"/>
    <w:tmpl w:val="18A27F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E787D"/>
    <w:multiLevelType w:val="hybridMultilevel"/>
    <w:tmpl w:val="8D2A1E4C"/>
    <w:lvl w:ilvl="0" w:tplc="9B6C2F86">
      <w:start w:val="1"/>
      <w:numFmt w:val="decimal"/>
      <w:lvlText w:val="%1)"/>
      <w:lvlJc w:val="left"/>
      <w:pPr>
        <w:ind w:left="4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3" w:hanging="360"/>
      </w:pPr>
    </w:lvl>
    <w:lvl w:ilvl="2" w:tplc="0419001B" w:tentative="1">
      <w:start w:val="1"/>
      <w:numFmt w:val="lowerRoman"/>
      <w:lvlText w:val="%3."/>
      <w:lvlJc w:val="right"/>
      <w:pPr>
        <w:ind w:left="1863" w:hanging="180"/>
      </w:pPr>
    </w:lvl>
    <w:lvl w:ilvl="3" w:tplc="0419000F" w:tentative="1">
      <w:start w:val="1"/>
      <w:numFmt w:val="decimal"/>
      <w:lvlText w:val="%4."/>
      <w:lvlJc w:val="left"/>
      <w:pPr>
        <w:ind w:left="2583" w:hanging="360"/>
      </w:pPr>
    </w:lvl>
    <w:lvl w:ilvl="4" w:tplc="04190019" w:tentative="1">
      <w:start w:val="1"/>
      <w:numFmt w:val="lowerLetter"/>
      <w:lvlText w:val="%5."/>
      <w:lvlJc w:val="left"/>
      <w:pPr>
        <w:ind w:left="3303" w:hanging="360"/>
      </w:pPr>
    </w:lvl>
    <w:lvl w:ilvl="5" w:tplc="0419001B" w:tentative="1">
      <w:start w:val="1"/>
      <w:numFmt w:val="lowerRoman"/>
      <w:lvlText w:val="%6."/>
      <w:lvlJc w:val="right"/>
      <w:pPr>
        <w:ind w:left="4023" w:hanging="180"/>
      </w:pPr>
    </w:lvl>
    <w:lvl w:ilvl="6" w:tplc="0419000F" w:tentative="1">
      <w:start w:val="1"/>
      <w:numFmt w:val="decimal"/>
      <w:lvlText w:val="%7."/>
      <w:lvlJc w:val="left"/>
      <w:pPr>
        <w:ind w:left="4743" w:hanging="360"/>
      </w:pPr>
    </w:lvl>
    <w:lvl w:ilvl="7" w:tplc="04190019" w:tentative="1">
      <w:start w:val="1"/>
      <w:numFmt w:val="lowerLetter"/>
      <w:lvlText w:val="%8."/>
      <w:lvlJc w:val="left"/>
      <w:pPr>
        <w:ind w:left="5463" w:hanging="360"/>
      </w:pPr>
    </w:lvl>
    <w:lvl w:ilvl="8" w:tplc="041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4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78E4796"/>
    <w:multiLevelType w:val="hybridMultilevel"/>
    <w:tmpl w:val="ECB8D51A"/>
    <w:lvl w:ilvl="0" w:tplc="F35C977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1BB40EB5"/>
    <w:multiLevelType w:val="hybridMultilevel"/>
    <w:tmpl w:val="70A625F4"/>
    <w:lvl w:ilvl="0" w:tplc="D0446FAA">
      <w:start w:val="1"/>
      <w:numFmt w:val="bullet"/>
      <w:suff w:val="space"/>
      <w:lvlText w:val="-"/>
      <w:lvlJc w:val="left"/>
      <w:pPr>
        <w:ind w:left="-114" w:firstLine="5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6415213"/>
    <w:multiLevelType w:val="hybridMultilevel"/>
    <w:tmpl w:val="2FE6F70C"/>
    <w:lvl w:ilvl="0" w:tplc="DEFE731A">
      <w:start w:val="1"/>
      <w:numFmt w:val="decimal"/>
      <w:lvlText w:val="%1."/>
      <w:lvlJc w:val="left"/>
      <w:pPr>
        <w:ind w:left="121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7B32D2E"/>
    <w:multiLevelType w:val="hybridMultilevel"/>
    <w:tmpl w:val="9E489F7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6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8" w15:restartNumberingAfterBreak="0">
    <w:nsid w:val="4E1E18A8"/>
    <w:multiLevelType w:val="hybridMultilevel"/>
    <w:tmpl w:val="9A7E7EAC"/>
    <w:lvl w:ilvl="0" w:tplc="48D483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4A4F55"/>
    <w:multiLevelType w:val="multilevel"/>
    <w:tmpl w:val="92007B74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2"/>
      <w:numFmt w:val="decimal"/>
      <w:lvlText w:val="%1.%2"/>
      <w:lvlJc w:val="left"/>
      <w:pPr>
        <w:ind w:left="1368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eastAsia="Times New Roman" w:cs="Times New Roman" w:hint="default"/>
      </w:rPr>
    </w:lvl>
  </w:abstractNum>
  <w:abstractNum w:abstractNumId="22" w15:restartNumberingAfterBreak="0">
    <w:nsid w:val="554A334A"/>
    <w:multiLevelType w:val="hybridMultilevel"/>
    <w:tmpl w:val="C96E2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5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6" w15:restartNumberingAfterBreak="0">
    <w:nsid w:val="6C8740A1"/>
    <w:multiLevelType w:val="multilevel"/>
    <w:tmpl w:val="366632BA"/>
    <w:lvl w:ilvl="0">
      <w:start w:val="1"/>
      <w:numFmt w:val="decimal"/>
      <w:lvlText w:val="%1."/>
      <w:lvlJc w:val="left"/>
      <w:pPr>
        <w:ind w:left="1335" w:hanging="13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90" w:hanging="13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45" w:hanging="13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00" w:hanging="13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155" w:hanging="133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440" w:hanging="1800"/>
      </w:pPr>
      <w:rPr>
        <w:rFonts w:cs="Times New Roman" w:hint="default"/>
      </w:rPr>
    </w:lvl>
  </w:abstractNum>
  <w:abstractNum w:abstractNumId="27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8" w15:restartNumberingAfterBreak="0">
    <w:nsid w:val="6EB3243A"/>
    <w:multiLevelType w:val="hybridMultilevel"/>
    <w:tmpl w:val="93F48B4E"/>
    <w:lvl w:ilvl="0" w:tplc="2822E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7"/>
  </w:num>
  <w:num w:numId="2">
    <w:abstractNumId w:val="16"/>
  </w:num>
  <w:num w:numId="3">
    <w:abstractNumId w:val="10"/>
  </w:num>
  <w:num w:numId="4">
    <w:abstractNumId w:val="4"/>
  </w:num>
  <w:num w:numId="5">
    <w:abstractNumId w:val="29"/>
  </w:num>
  <w:num w:numId="6">
    <w:abstractNumId w:val="9"/>
  </w:num>
  <w:num w:numId="7">
    <w:abstractNumId w:val="20"/>
  </w:num>
  <w:num w:numId="8">
    <w:abstractNumId w:val="23"/>
  </w:num>
  <w:num w:numId="9">
    <w:abstractNumId w:val="14"/>
  </w:num>
  <w:num w:numId="10">
    <w:abstractNumId w:val="7"/>
  </w:num>
  <w:num w:numId="11">
    <w:abstractNumId w:val="15"/>
  </w:num>
  <w:num w:numId="12">
    <w:abstractNumId w:val="17"/>
  </w:num>
  <w:num w:numId="13">
    <w:abstractNumId w:val="24"/>
  </w:num>
  <w:num w:numId="14">
    <w:abstractNumId w:val="8"/>
  </w:num>
  <w:num w:numId="15">
    <w:abstractNumId w:val="11"/>
  </w:num>
  <w:num w:numId="16">
    <w:abstractNumId w:val="25"/>
  </w:num>
  <w:num w:numId="17">
    <w:abstractNumId w:val="6"/>
  </w:num>
  <w:num w:numId="18">
    <w:abstractNumId w:val="19"/>
  </w:num>
  <w:num w:numId="19">
    <w:abstractNumId w:val="0"/>
  </w:num>
  <w:num w:numId="20">
    <w:abstractNumId w:val="18"/>
  </w:num>
  <w:num w:numId="21">
    <w:abstractNumId w:val="26"/>
  </w:num>
  <w:num w:numId="22">
    <w:abstractNumId w:val="12"/>
  </w:num>
  <w:num w:numId="23">
    <w:abstractNumId w:val="21"/>
  </w:num>
  <w:num w:numId="24">
    <w:abstractNumId w:val="13"/>
  </w:num>
  <w:num w:numId="25">
    <w:abstractNumId w:val="28"/>
  </w:num>
  <w:num w:numId="26">
    <w:abstractNumId w:val="1"/>
  </w:num>
  <w:num w:numId="27">
    <w:abstractNumId w:val="5"/>
  </w:num>
  <w:num w:numId="28">
    <w:abstractNumId w:val="22"/>
  </w:num>
  <w:num w:numId="29">
    <w:abstractNumId w:val="2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F3A"/>
    <w:rsid w:val="000037A3"/>
    <w:rsid w:val="00003B36"/>
    <w:rsid w:val="00004009"/>
    <w:rsid w:val="00005AF7"/>
    <w:rsid w:val="00006435"/>
    <w:rsid w:val="00006D82"/>
    <w:rsid w:val="000108EB"/>
    <w:rsid w:val="00011035"/>
    <w:rsid w:val="00015401"/>
    <w:rsid w:val="000156A5"/>
    <w:rsid w:val="000210F6"/>
    <w:rsid w:val="0002136B"/>
    <w:rsid w:val="0002156A"/>
    <w:rsid w:val="0002196B"/>
    <w:rsid w:val="000226CE"/>
    <w:rsid w:val="00023B87"/>
    <w:rsid w:val="000248D6"/>
    <w:rsid w:val="00024DC6"/>
    <w:rsid w:val="00025243"/>
    <w:rsid w:val="0002547C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030D"/>
    <w:rsid w:val="00042FBA"/>
    <w:rsid w:val="0004321A"/>
    <w:rsid w:val="00043847"/>
    <w:rsid w:val="000463E4"/>
    <w:rsid w:val="00046B67"/>
    <w:rsid w:val="00047E86"/>
    <w:rsid w:val="00051B66"/>
    <w:rsid w:val="00051CF6"/>
    <w:rsid w:val="00052949"/>
    <w:rsid w:val="00054A59"/>
    <w:rsid w:val="00057376"/>
    <w:rsid w:val="0005756B"/>
    <w:rsid w:val="00057D67"/>
    <w:rsid w:val="00057D7A"/>
    <w:rsid w:val="00057DEA"/>
    <w:rsid w:val="00062BBA"/>
    <w:rsid w:val="00065DF8"/>
    <w:rsid w:val="0006680C"/>
    <w:rsid w:val="00067487"/>
    <w:rsid w:val="00067B22"/>
    <w:rsid w:val="00067B32"/>
    <w:rsid w:val="000708F7"/>
    <w:rsid w:val="000724FC"/>
    <w:rsid w:val="00073ED6"/>
    <w:rsid w:val="00075D64"/>
    <w:rsid w:val="00076C97"/>
    <w:rsid w:val="00081164"/>
    <w:rsid w:val="00084CB3"/>
    <w:rsid w:val="00084EF2"/>
    <w:rsid w:val="00087748"/>
    <w:rsid w:val="000879BE"/>
    <w:rsid w:val="00091744"/>
    <w:rsid w:val="00091870"/>
    <w:rsid w:val="0009322E"/>
    <w:rsid w:val="00093C73"/>
    <w:rsid w:val="0009435F"/>
    <w:rsid w:val="00094AA2"/>
    <w:rsid w:val="00094D1D"/>
    <w:rsid w:val="00096D71"/>
    <w:rsid w:val="000A01CB"/>
    <w:rsid w:val="000A0AD4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2792"/>
    <w:rsid w:val="000C39D4"/>
    <w:rsid w:val="000C4B0B"/>
    <w:rsid w:val="000C5E35"/>
    <w:rsid w:val="000C6CA2"/>
    <w:rsid w:val="000C701D"/>
    <w:rsid w:val="000D0157"/>
    <w:rsid w:val="000D100B"/>
    <w:rsid w:val="000D1EBE"/>
    <w:rsid w:val="000D2413"/>
    <w:rsid w:val="000D48A3"/>
    <w:rsid w:val="000E063E"/>
    <w:rsid w:val="000E102F"/>
    <w:rsid w:val="000E2BD1"/>
    <w:rsid w:val="000E4FA4"/>
    <w:rsid w:val="000E50A3"/>
    <w:rsid w:val="000E63C9"/>
    <w:rsid w:val="000E6B1E"/>
    <w:rsid w:val="000F102A"/>
    <w:rsid w:val="000F2B04"/>
    <w:rsid w:val="000F466E"/>
    <w:rsid w:val="000F5CB3"/>
    <w:rsid w:val="000F654C"/>
    <w:rsid w:val="000F65AC"/>
    <w:rsid w:val="000F6DF2"/>
    <w:rsid w:val="00101BB8"/>
    <w:rsid w:val="00103B14"/>
    <w:rsid w:val="00105518"/>
    <w:rsid w:val="0010706B"/>
    <w:rsid w:val="001076BE"/>
    <w:rsid w:val="00107ECC"/>
    <w:rsid w:val="001104B5"/>
    <w:rsid w:val="00110732"/>
    <w:rsid w:val="00111156"/>
    <w:rsid w:val="00112A83"/>
    <w:rsid w:val="00113827"/>
    <w:rsid w:val="00122C78"/>
    <w:rsid w:val="0012468A"/>
    <w:rsid w:val="0012496D"/>
    <w:rsid w:val="001316E5"/>
    <w:rsid w:val="001319B3"/>
    <w:rsid w:val="001342AF"/>
    <w:rsid w:val="00134AF0"/>
    <w:rsid w:val="00135A30"/>
    <w:rsid w:val="0013784D"/>
    <w:rsid w:val="001408A6"/>
    <w:rsid w:val="00141528"/>
    <w:rsid w:val="0014300E"/>
    <w:rsid w:val="0014304A"/>
    <w:rsid w:val="00143D6C"/>
    <w:rsid w:val="001449FD"/>
    <w:rsid w:val="001456CF"/>
    <w:rsid w:val="001473CE"/>
    <w:rsid w:val="00150749"/>
    <w:rsid w:val="00152E66"/>
    <w:rsid w:val="00152F84"/>
    <w:rsid w:val="001551A3"/>
    <w:rsid w:val="00155939"/>
    <w:rsid w:val="00155C93"/>
    <w:rsid w:val="001608FD"/>
    <w:rsid w:val="00160F29"/>
    <w:rsid w:val="00160FB9"/>
    <w:rsid w:val="0016199A"/>
    <w:rsid w:val="001626C3"/>
    <w:rsid w:val="00164FC7"/>
    <w:rsid w:val="00166D79"/>
    <w:rsid w:val="00167797"/>
    <w:rsid w:val="00170E19"/>
    <w:rsid w:val="00171436"/>
    <w:rsid w:val="00174607"/>
    <w:rsid w:val="0017498B"/>
    <w:rsid w:val="00174E23"/>
    <w:rsid w:val="00174EB2"/>
    <w:rsid w:val="0017609C"/>
    <w:rsid w:val="001772BC"/>
    <w:rsid w:val="001779B8"/>
    <w:rsid w:val="001809C1"/>
    <w:rsid w:val="00181AC2"/>
    <w:rsid w:val="00182D25"/>
    <w:rsid w:val="00190338"/>
    <w:rsid w:val="00190427"/>
    <w:rsid w:val="00193CD6"/>
    <w:rsid w:val="00195072"/>
    <w:rsid w:val="00195D00"/>
    <w:rsid w:val="00197E15"/>
    <w:rsid w:val="00197E96"/>
    <w:rsid w:val="001A0D87"/>
    <w:rsid w:val="001A0E01"/>
    <w:rsid w:val="001A1275"/>
    <w:rsid w:val="001A12F7"/>
    <w:rsid w:val="001A12FE"/>
    <w:rsid w:val="001A17CD"/>
    <w:rsid w:val="001A1A41"/>
    <w:rsid w:val="001A238B"/>
    <w:rsid w:val="001A2AF7"/>
    <w:rsid w:val="001A3DAB"/>
    <w:rsid w:val="001A4525"/>
    <w:rsid w:val="001A46F7"/>
    <w:rsid w:val="001A4E1E"/>
    <w:rsid w:val="001A5CA8"/>
    <w:rsid w:val="001B05F4"/>
    <w:rsid w:val="001B0A16"/>
    <w:rsid w:val="001B341A"/>
    <w:rsid w:val="001B3DB0"/>
    <w:rsid w:val="001B4700"/>
    <w:rsid w:val="001B5A93"/>
    <w:rsid w:val="001C5439"/>
    <w:rsid w:val="001D146D"/>
    <w:rsid w:val="001D1C26"/>
    <w:rsid w:val="001D2226"/>
    <w:rsid w:val="001D2259"/>
    <w:rsid w:val="001D514C"/>
    <w:rsid w:val="001D5A50"/>
    <w:rsid w:val="001E1232"/>
    <w:rsid w:val="001E2239"/>
    <w:rsid w:val="001E56EE"/>
    <w:rsid w:val="001E6A68"/>
    <w:rsid w:val="001E7086"/>
    <w:rsid w:val="001F01A2"/>
    <w:rsid w:val="001F0C60"/>
    <w:rsid w:val="001F6B40"/>
    <w:rsid w:val="001F6EA6"/>
    <w:rsid w:val="0020054D"/>
    <w:rsid w:val="002007C0"/>
    <w:rsid w:val="00200D4F"/>
    <w:rsid w:val="00201D48"/>
    <w:rsid w:val="00202010"/>
    <w:rsid w:val="002023F2"/>
    <w:rsid w:val="00204493"/>
    <w:rsid w:val="00204DB2"/>
    <w:rsid w:val="00205170"/>
    <w:rsid w:val="00207F3C"/>
    <w:rsid w:val="00210BD8"/>
    <w:rsid w:val="002138F8"/>
    <w:rsid w:val="00215703"/>
    <w:rsid w:val="0021660C"/>
    <w:rsid w:val="00216697"/>
    <w:rsid w:val="00220546"/>
    <w:rsid w:val="00221A78"/>
    <w:rsid w:val="002252F7"/>
    <w:rsid w:val="00226723"/>
    <w:rsid w:val="00227679"/>
    <w:rsid w:val="002302F7"/>
    <w:rsid w:val="00231941"/>
    <w:rsid w:val="00236183"/>
    <w:rsid w:val="002361B7"/>
    <w:rsid w:val="00236D28"/>
    <w:rsid w:val="00236DFA"/>
    <w:rsid w:val="00240420"/>
    <w:rsid w:val="00241B5A"/>
    <w:rsid w:val="00243875"/>
    <w:rsid w:val="00243F15"/>
    <w:rsid w:val="00243F1F"/>
    <w:rsid w:val="00245F61"/>
    <w:rsid w:val="00245FF2"/>
    <w:rsid w:val="00246281"/>
    <w:rsid w:val="00250386"/>
    <w:rsid w:val="00252969"/>
    <w:rsid w:val="00253C2F"/>
    <w:rsid w:val="00256F2F"/>
    <w:rsid w:val="002578E5"/>
    <w:rsid w:val="00257CBC"/>
    <w:rsid w:val="00262D02"/>
    <w:rsid w:val="00262EC3"/>
    <w:rsid w:val="00266402"/>
    <w:rsid w:val="00266C7D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417"/>
    <w:rsid w:val="0028055A"/>
    <w:rsid w:val="002818BB"/>
    <w:rsid w:val="00283879"/>
    <w:rsid w:val="002838D5"/>
    <w:rsid w:val="00284AD3"/>
    <w:rsid w:val="00285B56"/>
    <w:rsid w:val="002864EA"/>
    <w:rsid w:val="00287129"/>
    <w:rsid w:val="00291DA2"/>
    <w:rsid w:val="00292414"/>
    <w:rsid w:val="00292B3A"/>
    <w:rsid w:val="002936DC"/>
    <w:rsid w:val="0029509C"/>
    <w:rsid w:val="002A1C1B"/>
    <w:rsid w:val="002A2389"/>
    <w:rsid w:val="002A2751"/>
    <w:rsid w:val="002A42FC"/>
    <w:rsid w:val="002A4EB9"/>
    <w:rsid w:val="002A56A3"/>
    <w:rsid w:val="002A6214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215A"/>
    <w:rsid w:val="002C29B8"/>
    <w:rsid w:val="002C4ABC"/>
    <w:rsid w:val="002C7405"/>
    <w:rsid w:val="002C7522"/>
    <w:rsid w:val="002C752D"/>
    <w:rsid w:val="002D18C4"/>
    <w:rsid w:val="002D19C0"/>
    <w:rsid w:val="002D2824"/>
    <w:rsid w:val="002D36D2"/>
    <w:rsid w:val="002D39D0"/>
    <w:rsid w:val="002D4DBB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4DA"/>
    <w:rsid w:val="002F7EE6"/>
    <w:rsid w:val="00302A34"/>
    <w:rsid w:val="00303946"/>
    <w:rsid w:val="00304034"/>
    <w:rsid w:val="00304B54"/>
    <w:rsid w:val="00304D48"/>
    <w:rsid w:val="00305017"/>
    <w:rsid w:val="00305A5C"/>
    <w:rsid w:val="00307FD8"/>
    <w:rsid w:val="00311679"/>
    <w:rsid w:val="00311C43"/>
    <w:rsid w:val="003151C9"/>
    <w:rsid w:val="0031574D"/>
    <w:rsid w:val="00315ABE"/>
    <w:rsid w:val="003204B4"/>
    <w:rsid w:val="003210F0"/>
    <w:rsid w:val="003223BF"/>
    <w:rsid w:val="003238B4"/>
    <w:rsid w:val="0032421F"/>
    <w:rsid w:val="00325529"/>
    <w:rsid w:val="003261A2"/>
    <w:rsid w:val="00326D4E"/>
    <w:rsid w:val="00327AA1"/>
    <w:rsid w:val="003325A9"/>
    <w:rsid w:val="00334849"/>
    <w:rsid w:val="0033589D"/>
    <w:rsid w:val="00335AA6"/>
    <w:rsid w:val="0033680E"/>
    <w:rsid w:val="00337C6E"/>
    <w:rsid w:val="00341653"/>
    <w:rsid w:val="0034489F"/>
    <w:rsid w:val="0034618F"/>
    <w:rsid w:val="00346955"/>
    <w:rsid w:val="00346B97"/>
    <w:rsid w:val="003505B6"/>
    <w:rsid w:val="0035134A"/>
    <w:rsid w:val="00351360"/>
    <w:rsid w:val="003523E1"/>
    <w:rsid w:val="00353471"/>
    <w:rsid w:val="0035546A"/>
    <w:rsid w:val="00355DB2"/>
    <w:rsid w:val="003570E8"/>
    <w:rsid w:val="0035760F"/>
    <w:rsid w:val="0035770D"/>
    <w:rsid w:val="00360DFE"/>
    <w:rsid w:val="003610AD"/>
    <w:rsid w:val="003618A9"/>
    <w:rsid w:val="00363E9A"/>
    <w:rsid w:val="00367A34"/>
    <w:rsid w:val="0037007E"/>
    <w:rsid w:val="0037052A"/>
    <w:rsid w:val="00370A39"/>
    <w:rsid w:val="00371299"/>
    <w:rsid w:val="00372046"/>
    <w:rsid w:val="00372FDC"/>
    <w:rsid w:val="0037318A"/>
    <w:rsid w:val="003739A9"/>
    <w:rsid w:val="0037443E"/>
    <w:rsid w:val="003746DE"/>
    <w:rsid w:val="0037782C"/>
    <w:rsid w:val="00382D54"/>
    <w:rsid w:val="00383225"/>
    <w:rsid w:val="003864B9"/>
    <w:rsid w:val="00386D8A"/>
    <w:rsid w:val="00386FBC"/>
    <w:rsid w:val="00387784"/>
    <w:rsid w:val="00390403"/>
    <w:rsid w:val="00394A7D"/>
    <w:rsid w:val="00394E42"/>
    <w:rsid w:val="00395771"/>
    <w:rsid w:val="00397CF6"/>
    <w:rsid w:val="00397EF6"/>
    <w:rsid w:val="003A0953"/>
    <w:rsid w:val="003A241C"/>
    <w:rsid w:val="003A4247"/>
    <w:rsid w:val="003A44E7"/>
    <w:rsid w:val="003A57F6"/>
    <w:rsid w:val="003A69C2"/>
    <w:rsid w:val="003A6EEB"/>
    <w:rsid w:val="003B0687"/>
    <w:rsid w:val="003B2609"/>
    <w:rsid w:val="003B53B2"/>
    <w:rsid w:val="003B71CA"/>
    <w:rsid w:val="003C0620"/>
    <w:rsid w:val="003C1FEC"/>
    <w:rsid w:val="003C37F4"/>
    <w:rsid w:val="003C39BE"/>
    <w:rsid w:val="003C482D"/>
    <w:rsid w:val="003C5483"/>
    <w:rsid w:val="003C5E33"/>
    <w:rsid w:val="003D515B"/>
    <w:rsid w:val="003D7842"/>
    <w:rsid w:val="003E2657"/>
    <w:rsid w:val="003E3270"/>
    <w:rsid w:val="003E3429"/>
    <w:rsid w:val="003E4240"/>
    <w:rsid w:val="003E4C05"/>
    <w:rsid w:val="003E596B"/>
    <w:rsid w:val="003E5CB8"/>
    <w:rsid w:val="003E630B"/>
    <w:rsid w:val="003E636B"/>
    <w:rsid w:val="003F3D4E"/>
    <w:rsid w:val="003F7431"/>
    <w:rsid w:val="00401642"/>
    <w:rsid w:val="0040302A"/>
    <w:rsid w:val="00403D70"/>
    <w:rsid w:val="00405B19"/>
    <w:rsid w:val="00406713"/>
    <w:rsid w:val="00407254"/>
    <w:rsid w:val="00407D5A"/>
    <w:rsid w:val="00407F3C"/>
    <w:rsid w:val="004116DC"/>
    <w:rsid w:val="00413F8D"/>
    <w:rsid w:val="0041461C"/>
    <w:rsid w:val="004149CB"/>
    <w:rsid w:val="00414C93"/>
    <w:rsid w:val="00414CB0"/>
    <w:rsid w:val="00415802"/>
    <w:rsid w:val="004230D3"/>
    <w:rsid w:val="00424D20"/>
    <w:rsid w:val="00425ADA"/>
    <w:rsid w:val="00425C7E"/>
    <w:rsid w:val="004326A4"/>
    <w:rsid w:val="0043280B"/>
    <w:rsid w:val="00433424"/>
    <w:rsid w:val="00434671"/>
    <w:rsid w:val="00435677"/>
    <w:rsid w:val="00435DBC"/>
    <w:rsid w:val="00435F5C"/>
    <w:rsid w:val="004370D1"/>
    <w:rsid w:val="004371D6"/>
    <w:rsid w:val="004403FB"/>
    <w:rsid w:val="00440920"/>
    <w:rsid w:val="004414E3"/>
    <w:rsid w:val="00443429"/>
    <w:rsid w:val="00444164"/>
    <w:rsid w:val="004442EE"/>
    <w:rsid w:val="00447038"/>
    <w:rsid w:val="0045130B"/>
    <w:rsid w:val="00452C5F"/>
    <w:rsid w:val="00455002"/>
    <w:rsid w:val="0045579F"/>
    <w:rsid w:val="00455CA1"/>
    <w:rsid w:val="00455DFB"/>
    <w:rsid w:val="00456C10"/>
    <w:rsid w:val="00456E16"/>
    <w:rsid w:val="00456E4F"/>
    <w:rsid w:val="00460A00"/>
    <w:rsid w:val="00464471"/>
    <w:rsid w:val="00464B5A"/>
    <w:rsid w:val="00466E77"/>
    <w:rsid w:val="00467097"/>
    <w:rsid w:val="00470009"/>
    <w:rsid w:val="004729BE"/>
    <w:rsid w:val="0047358D"/>
    <w:rsid w:val="0047465C"/>
    <w:rsid w:val="00476529"/>
    <w:rsid w:val="00476DAD"/>
    <w:rsid w:val="00482D6C"/>
    <w:rsid w:val="00487C09"/>
    <w:rsid w:val="0049297C"/>
    <w:rsid w:val="00493FB2"/>
    <w:rsid w:val="00495208"/>
    <w:rsid w:val="004968FA"/>
    <w:rsid w:val="00497B8F"/>
    <w:rsid w:val="004A01F6"/>
    <w:rsid w:val="004A0935"/>
    <w:rsid w:val="004A4EF9"/>
    <w:rsid w:val="004A4F73"/>
    <w:rsid w:val="004A76E8"/>
    <w:rsid w:val="004A781D"/>
    <w:rsid w:val="004A7E3E"/>
    <w:rsid w:val="004B0314"/>
    <w:rsid w:val="004B0731"/>
    <w:rsid w:val="004B3BBC"/>
    <w:rsid w:val="004B48C7"/>
    <w:rsid w:val="004B58F0"/>
    <w:rsid w:val="004B5C7B"/>
    <w:rsid w:val="004B69B4"/>
    <w:rsid w:val="004C08D9"/>
    <w:rsid w:val="004C178A"/>
    <w:rsid w:val="004C1C29"/>
    <w:rsid w:val="004C2D63"/>
    <w:rsid w:val="004C349C"/>
    <w:rsid w:val="004C45DD"/>
    <w:rsid w:val="004C64C4"/>
    <w:rsid w:val="004C75D9"/>
    <w:rsid w:val="004D1C72"/>
    <w:rsid w:val="004D3617"/>
    <w:rsid w:val="004D45A7"/>
    <w:rsid w:val="004D49D9"/>
    <w:rsid w:val="004D4B28"/>
    <w:rsid w:val="004D52D0"/>
    <w:rsid w:val="004D6FA3"/>
    <w:rsid w:val="004D7C9A"/>
    <w:rsid w:val="004D7D1D"/>
    <w:rsid w:val="004E043F"/>
    <w:rsid w:val="004E20D4"/>
    <w:rsid w:val="004E2B63"/>
    <w:rsid w:val="004E2FC4"/>
    <w:rsid w:val="004E3AE7"/>
    <w:rsid w:val="004E4CE4"/>
    <w:rsid w:val="004E57A1"/>
    <w:rsid w:val="004E5FC4"/>
    <w:rsid w:val="004E6E26"/>
    <w:rsid w:val="004E78DB"/>
    <w:rsid w:val="004F0CA9"/>
    <w:rsid w:val="004F0F1F"/>
    <w:rsid w:val="004F5615"/>
    <w:rsid w:val="004F5F3E"/>
    <w:rsid w:val="004F70C0"/>
    <w:rsid w:val="004F7C23"/>
    <w:rsid w:val="00501CB8"/>
    <w:rsid w:val="00502332"/>
    <w:rsid w:val="00504A28"/>
    <w:rsid w:val="00512C3F"/>
    <w:rsid w:val="00513520"/>
    <w:rsid w:val="00513A87"/>
    <w:rsid w:val="00516075"/>
    <w:rsid w:val="00522086"/>
    <w:rsid w:val="00523203"/>
    <w:rsid w:val="00526228"/>
    <w:rsid w:val="00533A69"/>
    <w:rsid w:val="00534FF4"/>
    <w:rsid w:val="00535229"/>
    <w:rsid w:val="005377BA"/>
    <w:rsid w:val="00537EE5"/>
    <w:rsid w:val="0054010C"/>
    <w:rsid w:val="00541DB2"/>
    <w:rsid w:val="005437BA"/>
    <w:rsid w:val="00545C54"/>
    <w:rsid w:val="00546D72"/>
    <w:rsid w:val="0055166A"/>
    <w:rsid w:val="005522B0"/>
    <w:rsid w:val="00553B7E"/>
    <w:rsid w:val="00556592"/>
    <w:rsid w:val="005619F0"/>
    <w:rsid w:val="00562078"/>
    <w:rsid w:val="00563339"/>
    <w:rsid w:val="005668F0"/>
    <w:rsid w:val="0057586F"/>
    <w:rsid w:val="00575C06"/>
    <w:rsid w:val="005764BF"/>
    <w:rsid w:val="00580B19"/>
    <w:rsid w:val="00581C8D"/>
    <w:rsid w:val="00584A52"/>
    <w:rsid w:val="00590D5D"/>
    <w:rsid w:val="005912B3"/>
    <w:rsid w:val="00591D7E"/>
    <w:rsid w:val="00593046"/>
    <w:rsid w:val="00596787"/>
    <w:rsid w:val="00596A8A"/>
    <w:rsid w:val="005A1098"/>
    <w:rsid w:val="005A2FA5"/>
    <w:rsid w:val="005A3D56"/>
    <w:rsid w:val="005A4F80"/>
    <w:rsid w:val="005A6491"/>
    <w:rsid w:val="005A6627"/>
    <w:rsid w:val="005A75DA"/>
    <w:rsid w:val="005B0D69"/>
    <w:rsid w:val="005B0EBA"/>
    <w:rsid w:val="005B45B4"/>
    <w:rsid w:val="005B6858"/>
    <w:rsid w:val="005B7358"/>
    <w:rsid w:val="005C050F"/>
    <w:rsid w:val="005C07A3"/>
    <w:rsid w:val="005C36E1"/>
    <w:rsid w:val="005C5108"/>
    <w:rsid w:val="005C5488"/>
    <w:rsid w:val="005C5595"/>
    <w:rsid w:val="005C569C"/>
    <w:rsid w:val="005C5DE4"/>
    <w:rsid w:val="005D102F"/>
    <w:rsid w:val="005D19CB"/>
    <w:rsid w:val="005D47C7"/>
    <w:rsid w:val="005D6BD8"/>
    <w:rsid w:val="005D73D1"/>
    <w:rsid w:val="005D7D0A"/>
    <w:rsid w:val="005E0C21"/>
    <w:rsid w:val="005E13FE"/>
    <w:rsid w:val="005E1E94"/>
    <w:rsid w:val="005E4126"/>
    <w:rsid w:val="005E47A4"/>
    <w:rsid w:val="005E502E"/>
    <w:rsid w:val="005E53AD"/>
    <w:rsid w:val="005E7F90"/>
    <w:rsid w:val="005F0005"/>
    <w:rsid w:val="005F2333"/>
    <w:rsid w:val="005F472D"/>
    <w:rsid w:val="005F614E"/>
    <w:rsid w:val="005F7D8B"/>
    <w:rsid w:val="00600E86"/>
    <w:rsid w:val="006011CF"/>
    <w:rsid w:val="00601D4C"/>
    <w:rsid w:val="006023AE"/>
    <w:rsid w:val="00602574"/>
    <w:rsid w:val="00604202"/>
    <w:rsid w:val="00605CF2"/>
    <w:rsid w:val="00605F0B"/>
    <w:rsid w:val="00610449"/>
    <w:rsid w:val="00612A4D"/>
    <w:rsid w:val="00612B1A"/>
    <w:rsid w:val="00613CC7"/>
    <w:rsid w:val="00615304"/>
    <w:rsid w:val="00617317"/>
    <w:rsid w:val="00620DEE"/>
    <w:rsid w:val="00622B44"/>
    <w:rsid w:val="00623315"/>
    <w:rsid w:val="006240C0"/>
    <w:rsid w:val="00625029"/>
    <w:rsid w:val="0063127B"/>
    <w:rsid w:val="00632680"/>
    <w:rsid w:val="00633A11"/>
    <w:rsid w:val="00636FA4"/>
    <w:rsid w:val="006378EB"/>
    <w:rsid w:val="00637CA9"/>
    <w:rsid w:val="00640233"/>
    <w:rsid w:val="006423BB"/>
    <w:rsid w:val="00643682"/>
    <w:rsid w:val="0064385D"/>
    <w:rsid w:val="00644596"/>
    <w:rsid w:val="00644B34"/>
    <w:rsid w:val="00644E5D"/>
    <w:rsid w:val="006459F9"/>
    <w:rsid w:val="0065288C"/>
    <w:rsid w:val="00652B35"/>
    <w:rsid w:val="00653C90"/>
    <w:rsid w:val="006551D6"/>
    <w:rsid w:val="00655B35"/>
    <w:rsid w:val="00656F3B"/>
    <w:rsid w:val="006633AE"/>
    <w:rsid w:val="006640E8"/>
    <w:rsid w:val="00664777"/>
    <w:rsid w:val="00664A89"/>
    <w:rsid w:val="00664D27"/>
    <w:rsid w:val="0066512E"/>
    <w:rsid w:val="006660AA"/>
    <w:rsid w:val="006661D8"/>
    <w:rsid w:val="00666666"/>
    <w:rsid w:val="006672A5"/>
    <w:rsid w:val="00670FE5"/>
    <w:rsid w:val="00672787"/>
    <w:rsid w:val="00673178"/>
    <w:rsid w:val="006746E6"/>
    <w:rsid w:val="00674E77"/>
    <w:rsid w:val="006753AB"/>
    <w:rsid w:val="00676998"/>
    <w:rsid w:val="006800C7"/>
    <w:rsid w:val="00681221"/>
    <w:rsid w:val="006813DB"/>
    <w:rsid w:val="00682FEC"/>
    <w:rsid w:val="00683055"/>
    <w:rsid w:val="006841F4"/>
    <w:rsid w:val="00684F5E"/>
    <w:rsid w:val="006871FB"/>
    <w:rsid w:val="00687A09"/>
    <w:rsid w:val="00687C85"/>
    <w:rsid w:val="00692421"/>
    <w:rsid w:val="00693266"/>
    <w:rsid w:val="00695111"/>
    <w:rsid w:val="00695A88"/>
    <w:rsid w:val="0069613A"/>
    <w:rsid w:val="0069699D"/>
    <w:rsid w:val="00697C23"/>
    <w:rsid w:val="006A0808"/>
    <w:rsid w:val="006A0B39"/>
    <w:rsid w:val="006A2100"/>
    <w:rsid w:val="006A2D8C"/>
    <w:rsid w:val="006A42C7"/>
    <w:rsid w:val="006A43DE"/>
    <w:rsid w:val="006A50CC"/>
    <w:rsid w:val="006A67B7"/>
    <w:rsid w:val="006B0390"/>
    <w:rsid w:val="006B1EE5"/>
    <w:rsid w:val="006B1F48"/>
    <w:rsid w:val="006B278B"/>
    <w:rsid w:val="006B29A2"/>
    <w:rsid w:val="006B3469"/>
    <w:rsid w:val="006B4482"/>
    <w:rsid w:val="006B4632"/>
    <w:rsid w:val="006B6F22"/>
    <w:rsid w:val="006C161F"/>
    <w:rsid w:val="006C2740"/>
    <w:rsid w:val="006C55BC"/>
    <w:rsid w:val="006C5E2C"/>
    <w:rsid w:val="006C6FE1"/>
    <w:rsid w:val="006D0C4A"/>
    <w:rsid w:val="006D3A10"/>
    <w:rsid w:val="006D3D4F"/>
    <w:rsid w:val="006D48F6"/>
    <w:rsid w:val="006D5F07"/>
    <w:rsid w:val="006D68A1"/>
    <w:rsid w:val="006E0D8F"/>
    <w:rsid w:val="006E15D4"/>
    <w:rsid w:val="006E325B"/>
    <w:rsid w:val="006E3999"/>
    <w:rsid w:val="006E3B51"/>
    <w:rsid w:val="006E509B"/>
    <w:rsid w:val="006E6F9B"/>
    <w:rsid w:val="006E7440"/>
    <w:rsid w:val="006F1BF6"/>
    <w:rsid w:val="006F2A2A"/>
    <w:rsid w:val="006F2EBA"/>
    <w:rsid w:val="006F3079"/>
    <w:rsid w:val="006F3467"/>
    <w:rsid w:val="006F4636"/>
    <w:rsid w:val="006F4B2E"/>
    <w:rsid w:val="006F51F8"/>
    <w:rsid w:val="006F5419"/>
    <w:rsid w:val="006F5665"/>
    <w:rsid w:val="006F69EB"/>
    <w:rsid w:val="006F7C0F"/>
    <w:rsid w:val="006F7CF1"/>
    <w:rsid w:val="007003B3"/>
    <w:rsid w:val="007011B0"/>
    <w:rsid w:val="007020B1"/>
    <w:rsid w:val="007024EA"/>
    <w:rsid w:val="0070298B"/>
    <w:rsid w:val="00704753"/>
    <w:rsid w:val="007055DE"/>
    <w:rsid w:val="00705BF4"/>
    <w:rsid w:val="00705F77"/>
    <w:rsid w:val="007063E7"/>
    <w:rsid w:val="00707D43"/>
    <w:rsid w:val="00710D1A"/>
    <w:rsid w:val="0071101F"/>
    <w:rsid w:val="007119ED"/>
    <w:rsid w:val="00711DE5"/>
    <w:rsid w:val="00715164"/>
    <w:rsid w:val="007160F7"/>
    <w:rsid w:val="007163CD"/>
    <w:rsid w:val="007210B8"/>
    <w:rsid w:val="00722DF9"/>
    <w:rsid w:val="00723736"/>
    <w:rsid w:val="0072585C"/>
    <w:rsid w:val="007258F4"/>
    <w:rsid w:val="007261D8"/>
    <w:rsid w:val="0072627E"/>
    <w:rsid w:val="007266A8"/>
    <w:rsid w:val="007275BD"/>
    <w:rsid w:val="007322C5"/>
    <w:rsid w:val="00732F12"/>
    <w:rsid w:val="00737445"/>
    <w:rsid w:val="00740838"/>
    <w:rsid w:val="007414C2"/>
    <w:rsid w:val="007419F0"/>
    <w:rsid w:val="00741BF0"/>
    <w:rsid w:val="007436C1"/>
    <w:rsid w:val="00743DFB"/>
    <w:rsid w:val="00745347"/>
    <w:rsid w:val="0074568F"/>
    <w:rsid w:val="007466A8"/>
    <w:rsid w:val="00747EA1"/>
    <w:rsid w:val="0075052D"/>
    <w:rsid w:val="00750DA5"/>
    <w:rsid w:val="007511E1"/>
    <w:rsid w:val="00754B5E"/>
    <w:rsid w:val="007572C2"/>
    <w:rsid w:val="00761927"/>
    <w:rsid w:val="0076300A"/>
    <w:rsid w:val="00763712"/>
    <w:rsid w:val="00764B71"/>
    <w:rsid w:val="0076554F"/>
    <w:rsid w:val="0077066F"/>
    <w:rsid w:val="00770EAA"/>
    <w:rsid w:val="007731D2"/>
    <w:rsid w:val="00773D35"/>
    <w:rsid w:val="00774AD7"/>
    <w:rsid w:val="00775624"/>
    <w:rsid w:val="00775924"/>
    <w:rsid w:val="00775AF8"/>
    <w:rsid w:val="00780708"/>
    <w:rsid w:val="00782B68"/>
    <w:rsid w:val="007856A1"/>
    <w:rsid w:val="00787267"/>
    <w:rsid w:val="00787B0F"/>
    <w:rsid w:val="00790217"/>
    <w:rsid w:val="00790550"/>
    <w:rsid w:val="00791C46"/>
    <w:rsid w:val="00791FEE"/>
    <w:rsid w:val="00793AFA"/>
    <w:rsid w:val="0079406E"/>
    <w:rsid w:val="00797D1F"/>
    <w:rsid w:val="007A0549"/>
    <w:rsid w:val="007A0AB1"/>
    <w:rsid w:val="007A1FC1"/>
    <w:rsid w:val="007A246F"/>
    <w:rsid w:val="007B054B"/>
    <w:rsid w:val="007B2B8D"/>
    <w:rsid w:val="007B2BDA"/>
    <w:rsid w:val="007B2EFE"/>
    <w:rsid w:val="007B35E7"/>
    <w:rsid w:val="007B4087"/>
    <w:rsid w:val="007C0482"/>
    <w:rsid w:val="007C239E"/>
    <w:rsid w:val="007C4391"/>
    <w:rsid w:val="007C444B"/>
    <w:rsid w:val="007C558B"/>
    <w:rsid w:val="007C573D"/>
    <w:rsid w:val="007C7CA3"/>
    <w:rsid w:val="007D02B7"/>
    <w:rsid w:val="007D068C"/>
    <w:rsid w:val="007D3FE7"/>
    <w:rsid w:val="007D45D7"/>
    <w:rsid w:val="007D4841"/>
    <w:rsid w:val="007D6DF1"/>
    <w:rsid w:val="007E0477"/>
    <w:rsid w:val="007E1108"/>
    <w:rsid w:val="007E1BDB"/>
    <w:rsid w:val="007E247A"/>
    <w:rsid w:val="007E30B8"/>
    <w:rsid w:val="007E4EC6"/>
    <w:rsid w:val="007E6920"/>
    <w:rsid w:val="007E7C8D"/>
    <w:rsid w:val="007F1431"/>
    <w:rsid w:val="007F1946"/>
    <w:rsid w:val="007F1BBC"/>
    <w:rsid w:val="007F36A5"/>
    <w:rsid w:val="007F40EC"/>
    <w:rsid w:val="007F492B"/>
    <w:rsid w:val="007F4DD2"/>
    <w:rsid w:val="007F5849"/>
    <w:rsid w:val="007F6A8B"/>
    <w:rsid w:val="007F6E73"/>
    <w:rsid w:val="00802274"/>
    <w:rsid w:val="00804974"/>
    <w:rsid w:val="0080606E"/>
    <w:rsid w:val="00806350"/>
    <w:rsid w:val="00806974"/>
    <w:rsid w:val="00806CA5"/>
    <w:rsid w:val="00807F81"/>
    <w:rsid w:val="0081046B"/>
    <w:rsid w:val="008109D1"/>
    <w:rsid w:val="00810BB7"/>
    <w:rsid w:val="00812541"/>
    <w:rsid w:val="008130A6"/>
    <w:rsid w:val="00815414"/>
    <w:rsid w:val="00815545"/>
    <w:rsid w:val="008159FF"/>
    <w:rsid w:val="00815B24"/>
    <w:rsid w:val="00817D0C"/>
    <w:rsid w:val="008206EB"/>
    <w:rsid w:val="00820B46"/>
    <w:rsid w:val="00820CB7"/>
    <w:rsid w:val="00822A60"/>
    <w:rsid w:val="00826137"/>
    <w:rsid w:val="00826D63"/>
    <w:rsid w:val="0083107E"/>
    <w:rsid w:val="0083131A"/>
    <w:rsid w:val="00831786"/>
    <w:rsid w:val="00832A1F"/>
    <w:rsid w:val="00832A46"/>
    <w:rsid w:val="00832E41"/>
    <w:rsid w:val="00833894"/>
    <w:rsid w:val="00833E4B"/>
    <w:rsid w:val="008355A7"/>
    <w:rsid w:val="00836492"/>
    <w:rsid w:val="00836583"/>
    <w:rsid w:val="00836C8B"/>
    <w:rsid w:val="008404FA"/>
    <w:rsid w:val="00840AC7"/>
    <w:rsid w:val="0084253D"/>
    <w:rsid w:val="0084492D"/>
    <w:rsid w:val="00844ABF"/>
    <w:rsid w:val="00844DB1"/>
    <w:rsid w:val="00845240"/>
    <w:rsid w:val="008454FF"/>
    <w:rsid w:val="00845509"/>
    <w:rsid w:val="00845E69"/>
    <w:rsid w:val="00846A41"/>
    <w:rsid w:val="00846CD9"/>
    <w:rsid w:val="00847D4F"/>
    <w:rsid w:val="00850C5C"/>
    <w:rsid w:val="00851C2B"/>
    <w:rsid w:val="0085215A"/>
    <w:rsid w:val="008530BC"/>
    <w:rsid w:val="00853100"/>
    <w:rsid w:val="00857B95"/>
    <w:rsid w:val="008628DD"/>
    <w:rsid w:val="00865F80"/>
    <w:rsid w:val="00866790"/>
    <w:rsid w:val="00866914"/>
    <w:rsid w:val="0086750A"/>
    <w:rsid w:val="00867D0D"/>
    <w:rsid w:val="0087029A"/>
    <w:rsid w:val="008706D1"/>
    <w:rsid w:val="008713D2"/>
    <w:rsid w:val="0087288B"/>
    <w:rsid w:val="00873763"/>
    <w:rsid w:val="0087380E"/>
    <w:rsid w:val="00873FD6"/>
    <w:rsid w:val="008746EF"/>
    <w:rsid w:val="00875109"/>
    <w:rsid w:val="00875665"/>
    <w:rsid w:val="008765D0"/>
    <w:rsid w:val="008836EF"/>
    <w:rsid w:val="00883BBF"/>
    <w:rsid w:val="00886BE7"/>
    <w:rsid w:val="00886D6A"/>
    <w:rsid w:val="008876D3"/>
    <w:rsid w:val="0089008E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A0"/>
    <w:rsid w:val="008A3FF8"/>
    <w:rsid w:val="008A47E6"/>
    <w:rsid w:val="008A4FDD"/>
    <w:rsid w:val="008A52B7"/>
    <w:rsid w:val="008A574E"/>
    <w:rsid w:val="008A5754"/>
    <w:rsid w:val="008A57EB"/>
    <w:rsid w:val="008A5F47"/>
    <w:rsid w:val="008B010F"/>
    <w:rsid w:val="008B0296"/>
    <w:rsid w:val="008B31A1"/>
    <w:rsid w:val="008B3766"/>
    <w:rsid w:val="008B3CAA"/>
    <w:rsid w:val="008B71ED"/>
    <w:rsid w:val="008C0688"/>
    <w:rsid w:val="008C180F"/>
    <w:rsid w:val="008C78C9"/>
    <w:rsid w:val="008D1894"/>
    <w:rsid w:val="008D2445"/>
    <w:rsid w:val="008D56AC"/>
    <w:rsid w:val="008D6200"/>
    <w:rsid w:val="008E1C08"/>
    <w:rsid w:val="008E734C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29E"/>
    <w:rsid w:val="009023E6"/>
    <w:rsid w:val="00903403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C27"/>
    <w:rsid w:val="00913D08"/>
    <w:rsid w:val="00913DCB"/>
    <w:rsid w:val="009144F0"/>
    <w:rsid w:val="00915065"/>
    <w:rsid w:val="00916384"/>
    <w:rsid w:val="00916B8B"/>
    <w:rsid w:val="009178E2"/>
    <w:rsid w:val="009201B2"/>
    <w:rsid w:val="00921ED1"/>
    <w:rsid w:val="00923702"/>
    <w:rsid w:val="00923BA5"/>
    <w:rsid w:val="0092577F"/>
    <w:rsid w:val="0092664A"/>
    <w:rsid w:val="00927AF7"/>
    <w:rsid w:val="00930DB5"/>
    <w:rsid w:val="00931207"/>
    <w:rsid w:val="00931B6D"/>
    <w:rsid w:val="00931D92"/>
    <w:rsid w:val="00932A93"/>
    <w:rsid w:val="00933617"/>
    <w:rsid w:val="00937419"/>
    <w:rsid w:val="009402D7"/>
    <w:rsid w:val="0094110D"/>
    <w:rsid w:val="00942710"/>
    <w:rsid w:val="00942A34"/>
    <w:rsid w:val="00945814"/>
    <w:rsid w:val="009464D4"/>
    <w:rsid w:val="00946D04"/>
    <w:rsid w:val="00947FC0"/>
    <w:rsid w:val="00951E9F"/>
    <w:rsid w:val="00952C6A"/>
    <w:rsid w:val="00952CF7"/>
    <w:rsid w:val="009534A4"/>
    <w:rsid w:val="00953640"/>
    <w:rsid w:val="00953FCA"/>
    <w:rsid w:val="00954023"/>
    <w:rsid w:val="00954B2A"/>
    <w:rsid w:val="00955375"/>
    <w:rsid w:val="00956577"/>
    <w:rsid w:val="00957C2F"/>
    <w:rsid w:val="00960AD5"/>
    <w:rsid w:val="00960BD3"/>
    <w:rsid w:val="00964C24"/>
    <w:rsid w:val="00965C00"/>
    <w:rsid w:val="00965C66"/>
    <w:rsid w:val="009677C3"/>
    <w:rsid w:val="009705C4"/>
    <w:rsid w:val="0097232E"/>
    <w:rsid w:val="009748D0"/>
    <w:rsid w:val="00976505"/>
    <w:rsid w:val="00977784"/>
    <w:rsid w:val="00985751"/>
    <w:rsid w:val="009872E6"/>
    <w:rsid w:val="00987646"/>
    <w:rsid w:val="00991226"/>
    <w:rsid w:val="009919DB"/>
    <w:rsid w:val="009930D1"/>
    <w:rsid w:val="00993F0E"/>
    <w:rsid w:val="009949AF"/>
    <w:rsid w:val="0099583B"/>
    <w:rsid w:val="00995C60"/>
    <w:rsid w:val="00996D15"/>
    <w:rsid w:val="00997FF4"/>
    <w:rsid w:val="009A0441"/>
    <w:rsid w:val="009A0FB9"/>
    <w:rsid w:val="009A126B"/>
    <w:rsid w:val="009A1334"/>
    <w:rsid w:val="009A19A9"/>
    <w:rsid w:val="009A2002"/>
    <w:rsid w:val="009A2F91"/>
    <w:rsid w:val="009A42AE"/>
    <w:rsid w:val="009A5123"/>
    <w:rsid w:val="009A6B3C"/>
    <w:rsid w:val="009A7C7B"/>
    <w:rsid w:val="009B1174"/>
    <w:rsid w:val="009B14DB"/>
    <w:rsid w:val="009B1777"/>
    <w:rsid w:val="009B2610"/>
    <w:rsid w:val="009B2789"/>
    <w:rsid w:val="009B4A57"/>
    <w:rsid w:val="009B538E"/>
    <w:rsid w:val="009B5D07"/>
    <w:rsid w:val="009B68D8"/>
    <w:rsid w:val="009C1BEC"/>
    <w:rsid w:val="009C1DA2"/>
    <w:rsid w:val="009C4FA4"/>
    <w:rsid w:val="009C5012"/>
    <w:rsid w:val="009C5EC6"/>
    <w:rsid w:val="009D0F38"/>
    <w:rsid w:val="009D1465"/>
    <w:rsid w:val="009D1991"/>
    <w:rsid w:val="009D1BB5"/>
    <w:rsid w:val="009D36E8"/>
    <w:rsid w:val="009D38DD"/>
    <w:rsid w:val="009D6B63"/>
    <w:rsid w:val="009D6F77"/>
    <w:rsid w:val="009E2EB4"/>
    <w:rsid w:val="009E6BCE"/>
    <w:rsid w:val="009F08D8"/>
    <w:rsid w:val="009F2250"/>
    <w:rsid w:val="009F4C51"/>
    <w:rsid w:val="009F516E"/>
    <w:rsid w:val="00A01EF1"/>
    <w:rsid w:val="00A02002"/>
    <w:rsid w:val="00A02E33"/>
    <w:rsid w:val="00A03B3F"/>
    <w:rsid w:val="00A076A3"/>
    <w:rsid w:val="00A07A47"/>
    <w:rsid w:val="00A10769"/>
    <w:rsid w:val="00A10D16"/>
    <w:rsid w:val="00A16E35"/>
    <w:rsid w:val="00A26219"/>
    <w:rsid w:val="00A26FBD"/>
    <w:rsid w:val="00A27E93"/>
    <w:rsid w:val="00A30605"/>
    <w:rsid w:val="00A30BA7"/>
    <w:rsid w:val="00A335E5"/>
    <w:rsid w:val="00A35B6B"/>
    <w:rsid w:val="00A360F7"/>
    <w:rsid w:val="00A36919"/>
    <w:rsid w:val="00A405A3"/>
    <w:rsid w:val="00A41D53"/>
    <w:rsid w:val="00A4240A"/>
    <w:rsid w:val="00A43C63"/>
    <w:rsid w:val="00A45688"/>
    <w:rsid w:val="00A4632C"/>
    <w:rsid w:val="00A51134"/>
    <w:rsid w:val="00A51972"/>
    <w:rsid w:val="00A528A3"/>
    <w:rsid w:val="00A52F29"/>
    <w:rsid w:val="00A557E0"/>
    <w:rsid w:val="00A573AD"/>
    <w:rsid w:val="00A57565"/>
    <w:rsid w:val="00A57D59"/>
    <w:rsid w:val="00A60994"/>
    <w:rsid w:val="00A61B2C"/>
    <w:rsid w:val="00A62ED4"/>
    <w:rsid w:val="00A64717"/>
    <w:rsid w:val="00A65D87"/>
    <w:rsid w:val="00A65EAF"/>
    <w:rsid w:val="00A66439"/>
    <w:rsid w:val="00A67FC5"/>
    <w:rsid w:val="00A70669"/>
    <w:rsid w:val="00A706D5"/>
    <w:rsid w:val="00A75242"/>
    <w:rsid w:val="00A76188"/>
    <w:rsid w:val="00A81109"/>
    <w:rsid w:val="00A815B8"/>
    <w:rsid w:val="00A81C3F"/>
    <w:rsid w:val="00A82BAB"/>
    <w:rsid w:val="00A838C9"/>
    <w:rsid w:val="00A83DFE"/>
    <w:rsid w:val="00A84BAE"/>
    <w:rsid w:val="00A85D77"/>
    <w:rsid w:val="00A91DA7"/>
    <w:rsid w:val="00A926FF"/>
    <w:rsid w:val="00A9637C"/>
    <w:rsid w:val="00A96883"/>
    <w:rsid w:val="00A96A21"/>
    <w:rsid w:val="00A97C07"/>
    <w:rsid w:val="00AA0BB7"/>
    <w:rsid w:val="00AA0E3D"/>
    <w:rsid w:val="00AA1D0A"/>
    <w:rsid w:val="00AA4396"/>
    <w:rsid w:val="00AA4AF6"/>
    <w:rsid w:val="00AA5CE7"/>
    <w:rsid w:val="00AA6745"/>
    <w:rsid w:val="00AB0142"/>
    <w:rsid w:val="00AB0393"/>
    <w:rsid w:val="00AB1AF0"/>
    <w:rsid w:val="00AB2E61"/>
    <w:rsid w:val="00AB3305"/>
    <w:rsid w:val="00AB361C"/>
    <w:rsid w:val="00AB53D4"/>
    <w:rsid w:val="00AC049E"/>
    <w:rsid w:val="00AC069E"/>
    <w:rsid w:val="00AC0734"/>
    <w:rsid w:val="00AC1070"/>
    <w:rsid w:val="00AC11BD"/>
    <w:rsid w:val="00AC163A"/>
    <w:rsid w:val="00AC27DC"/>
    <w:rsid w:val="00AC30EF"/>
    <w:rsid w:val="00AC447D"/>
    <w:rsid w:val="00AD136C"/>
    <w:rsid w:val="00AD4F61"/>
    <w:rsid w:val="00AD62DC"/>
    <w:rsid w:val="00AD6FCB"/>
    <w:rsid w:val="00AE09DF"/>
    <w:rsid w:val="00AE0EE9"/>
    <w:rsid w:val="00AE321F"/>
    <w:rsid w:val="00AE4569"/>
    <w:rsid w:val="00AE6FA9"/>
    <w:rsid w:val="00AF07E3"/>
    <w:rsid w:val="00AF10B6"/>
    <w:rsid w:val="00AF21D1"/>
    <w:rsid w:val="00AF2314"/>
    <w:rsid w:val="00AF3CB1"/>
    <w:rsid w:val="00AF6393"/>
    <w:rsid w:val="00AF68C3"/>
    <w:rsid w:val="00AF754D"/>
    <w:rsid w:val="00AF7709"/>
    <w:rsid w:val="00B00BF6"/>
    <w:rsid w:val="00B01CC4"/>
    <w:rsid w:val="00B04472"/>
    <w:rsid w:val="00B048FE"/>
    <w:rsid w:val="00B04A3B"/>
    <w:rsid w:val="00B04C62"/>
    <w:rsid w:val="00B06554"/>
    <w:rsid w:val="00B068A7"/>
    <w:rsid w:val="00B06C2D"/>
    <w:rsid w:val="00B07B5B"/>
    <w:rsid w:val="00B07C21"/>
    <w:rsid w:val="00B12678"/>
    <w:rsid w:val="00B13185"/>
    <w:rsid w:val="00B201C8"/>
    <w:rsid w:val="00B25321"/>
    <w:rsid w:val="00B25FF7"/>
    <w:rsid w:val="00B26428"/>
    <w:rsid w:val="00B26436"/>
    <w:rsid w:val="00B26EA3"/>
    <w:rsid w:val="00B27A66"/>
    <w:rsid w:val="00B30A8C"/>
    <w:rsid w:val="00B312F5"/>
    <w:rsid w:val="00B31CB7"/>
    <w:rsid w:val="00B34BA7"/>
    <w:rsid w:val="00B35EA1"/>
    <w:rsid w:val="00B36DB5"/>
    <w:rsid w:val="00B436D0"/>
    <w:rsid w:val="00B43F57"/>
    <w:rsid w:val="00B465FC"/>
    <w:rsid w:val="00B47698"/>
    <w:rsid w:val="00B47CAB"/>
    <w:rsid w:val="00B5169B"/>
    <w:rsid w:val="00B519A3"/>
    <w:rsid w:val="00B52005"/>
    <w:rsid w:val="00B57868"/>
    <w:rsid w:val="00B615B6"/>
    <w:rsid w:val="00B618FF"/>
    <w:rsid w:val="00B633BF"/>
    <w:rsid w:val="00B66274"/>
    <w:rsid w:val="00B71F70"/>
    <w:rsid w:val="00B721DC"/>
    <w:rsid w:val="00B72562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5781"/>
    <w:rsid w:val="00B85A13"/>
    <w:rsid w:val="00B92C60"/>
    <w:rsid w:val="00B93992"/>
    <w:rsid w:val="00B94D3F"/>
    <w:rsid w:val="00BA042A"/>
    <w:rsid w:val="00BA629E"/>
    <w:rsid w:val="00BB1565"/>
    <w:rsid w:val="00BB4843"/>
    <w:rsid w:val="00BB4AC0"/>
    <w:rsid w:val="00BB5CEE"/>
    <w:rsid w:val="00BB7CDA"/>
    <w:rsid w:val="00BC1160"/>
    <w:rsid w:val="00BC148E"/>
    <w:rsid w:val="00BC2D69"/>
    <w:rsid w:val="00BC3EA2"/>
    <w:rsid w:val="00BC5EC6"/>
    <w:rsid w:val="00BC5EF3"/>
    <w:rsid w:val="00BD1897"/>
    <w:rsid w:val="00BD1CCF"/>
    <w:rsid w:val="00BD2053"/>
    <w:rsid w:val="00BD5187"/>
    <w:rsid w:val="00BD69BB"/>
    <w:rsid w:val="00BD7FE3"/>
    <w:rsid w:val="00BE26B8"/>
    <w:rsid w:val="00BE27FD"/>
    <w:rsid w:val="00BE351F"/>
    <w:rsid w:val="00BE7E32"/>
    <w:rsid w:val="00BF762D"/>
    <w:rsid w:val="00C00F78"/>
    <w:rsid w:val="00C01DED"/>
    <w:rsid w:val="00C02DDB"/>
    <w:rsid w:val="00C0382D"/>
    <w:rsid w:val="00C04E5D"/>
    <w:rsid w:val="00C06FC8"/>
    <w:rsid w:val="00C07719"/>
    <w:rsid w:val="00C0789D"/>
    <w:rsid w:val="00C12C08"/>
    <w:rsid w:val="00C16601"/>
    <w:rsid w:val="00C2136F"/>
    <w:rsid w:val="00C21F77"/>
    <w:rsid w:val="00C226EE"/>
    <w:rsid w:val="00C25C01"/>
    <w:rsid w:val="00C26DAF"/>
    <w:rsid w:val="00C3037E"/>
    <w:rsid w:val="00C30A36"/>
    <w:rsid w:val="00C33C6B"/>
    <w:rsid w:val="00C34EDC"/>
    <w:rsid w:val="00C357B3"/>
    <w:rsid w:val="00C4018E"/>
    <w:rsid w:val="00C42366"/>
    <w:rsid w:val="00C42373"/>
    <w:rsid w:val="00C42700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9B5"/>
    <w:rsid w:val="00C65A37"/>
    <w:rsid w:val="00C6620E"/>
    <w:rsid w:val="00C70769"/>
    <w:rsid w:val="00C70934"/>
    <w:rsid w:val="00C724F4"/>
    <w:rsid w:val="00C726C5"/>
    <w:rsid w:val="00C73E43"/>
    <w:rsid w:val="00C73EB5"/>
    <w:rsid w:val="00C75DEC"/>
    <w:rsid w:val="00C760BD"/>
    <w:rsid w:val="00C76513"/>
    <w:rsid w:val="00C81F03"/>
    <w:rsid w:val="00C82746"/>
    <w:rsid w:val="00C82A4B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96C5A"/>
    <w:rsid w:val="00CA08FC"/>
    <w:rsid w:val="00CA7506"/>
    <w:rsid w:val="00CA77DE"/>
    <w:rsid w:val="00CB094B"/>
    <w:rsid w:val="00CB0E44"/>
    <w:rsid w:val="00CB0EAB"/>
    <w:rsid w:val="00CB1B8F"/>
    <w:rsid w:val="00CB244A"/>
    <w:rsid w:val="00CB320C"/>
    <w:rsid w:val="00CB385F"/>
    <w:rsid w:val="00CB4DB1"/>
    <w:rsid w:val="00CB6192"/>
    <w:rsid w:val="00CB660F"/>
    <w:rsid w:val="00CB7680"/>
    <w:rsid w:val="00CC1C43"/>
    <w:rsid w:val="00CC2168"/>
    <w:rsid w:val="00CC2529"/>
    <w:rsid w:val="00CC281F"/>
    <w:rsid w:val="00CC297F"/>
    <w:rsid w:val="00CC2F67"/>
    <w:rsid w:val="00CC308D"/>
    <w:rsid w:val="00CC5DC2"/>
    <w:rsid w:val="00CC63D1"/>
    <w:rsid w:val="00CC6A63"/>
    <w:rsid w:val="00CC7502"/>
    <w:rsid w:val="00CC7710"/>
    <w:rsid w:val="00CC797E"/>
    <w:rsid w:val="00CD0190"/>
    <w:rsid w:val="00CD073B"/>
    <w:rsid w:val="00CD1A81"/>
    <w:rsid w:val="00CD1AFC"/>
    <w:rsid w:val="00CD21E7"/>
    <w:rsid w:val="00CD2D9F"/>
    <w:rsid w:val="00CD3321"/>
    <w:rsid w:val="00CD7567"/>
    <w:rsid w:val="00CE12BB"/>
    <w:rsid w:val="00CE2B52"/>
    <w:rsid w:val="00CE352C"/>
    <w:rsid w:val="00CE409B"/>
    <w:rsid w:val="00CE790A"/>
    <w:rsid w:val="00CF0C50"/>
    <w:rsid w:val="00CF0E5E"/>
    <w:rsid w:val="00CF0F52"/>
    <w:rsid w:val="00CF14F1"/>
    <w:rsid w:val="00CF39C8"/>
    <w:rsid w:val="00CF49C2"/>
    <w:rsid w:val="00CF4E35"/>
    <w:rsid w:val="00CF4E3D"/>
    <w:rsid w:val="00D01B7C"/>
    <w:rsid w:val="00D03BA4"/>
    <w:rsid w:val="00D04503"/>
    <w:rsid w:val="00D05AB2"/>
    <w:rsid w:val="00D065DC"/>
    <w:rsid w:val="00D10C27"/>
    <w:rsid w:val="00D10D0C"/>
    <w:rsid w:val="00D121B1"/>
    <w:rsid w:val="00D13B5C"/>
    <w:rsid w:val="00D15698"/>
    <w:rsid w:val="00D15B83"/>
    <w:rsid w:val="00D16078"/>
    <w:rsid w:val="00D16E8D"/>
    <w:rsid w:val="00D17C9E"/>
    <w:rsid w:val="00D20B29"/>
    <w:rsid w:val="00D20FF9"/>
    <w:rsid w:val="00D27C5E"/>
    <w:rsid w:val="00D3700C"/>
    <w:rsid w:val="00D37AF6"/>
    <w:rsid w:val="00D42BF7"/>
    <w:rsid w:val="00D42CC0"/>
    <w:rsid w:val="00D439AF"/>
    <w:rsid w:val="00D43FFB"/>
    <w:rsid w:val="00D44F60"/>
    <w:rsid w:val="00D4597E"/>
    <w:rsid w:val="00D46075"/>
    <w:rsid w:val="00D46722"/>
    <w:rsid w:val="00D47A2C"/>
    <w:rsid w:val="00D47FDE"/>
    <w:rsid w:val="00D510C6"/>
    <w:rsid w:val="00D511C9"/>
    <w:rsid w:val="00D525DC"/>
    <w:rsid w:val="00D53243"/>
    <w:rsid w:val="00D548F2"/>
    <w:rsid w:val="00D57330"/>
    <w:rsid w:val="00D575F1"/>
    <w:rsid w:val="00D57ADF"/>
    <w:rsid w:val="00D608DB"/>
    <w:rsid w:val="00D6185D"/>
    <w:rsid w:val="00D61F5C"/>
    <w:rsid w:val="00D62D20"/>
    <w:rsid w:val="00D647FC"/>
    <w:rsid w:val="00D66A03"/>
    <w:rsid w:val="00D67C3C"/>
    <w:rsid w:val="00D71ABF"/>
    <w:rsid w:val="00D71B3D"/>
    <w:rsid w:val="00D73291"/>
    <w:rsid w:val="00D73FC6"/>
    <w:rsid w:val="00D76EEA"/>
    <w:rsid w:val="00D77ACE"/>
    <w:rsid w:val="00D8071F"/>
    <w:rsid w:val="00D80DB3"/>
    <w:rsid w:val="00D81321"/>
    <w:rsid w:val="00D81F1F"/>
    <w:rsid w:val="00D8357A"/>
    <w:rsid w:val="00D8363D"/>
    <w:rsid w:val="00D85B41"/>
    <w:rsid w:val="00D85C89"/>
    <w:rsid w:val="00D860AE"/>
    <w:rsid w:val="00D864C2"/>
    <w:rsid w:val="00D87533"/>
    <w:rsid w:val="00D87AC6"/>
    <w:rsid w:val="00D91E60"/>
    <w:rsid w:val="00D92786"/>
    <w:rsid w:val="00D93DD4"/>
    <w:rsid w:val="00D963D9"/>
    <w:rsid w:val="00D96745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049"/>
    <w:rsid w:val="00DB5305"/>
    <w:rsid w:val="00DB5A58"/>
    <w:rsid w:val="00DB610A"/>
    <w:rsid w:val="00DB6634"/>
    <w:rsid w:val="00DB6752"/>
    <w:rsid w:val="00DC2658"/>
    <w:rsid w:val="00DC5634"/>
    <w:rsid w:val="00DC625A"/>
    <w:rsid w:val="00DD1FDA"/>
    <w:rsid w:val="00DD2F4E"/>
    <w:rsid w:val="00DD3575"/>
    <w:rsid w:val="00DD6615"/>
    <w:rsid w:val="00DD677C"/>
    <w:rsid w:val="00DD74D5"/>
    <w:rsid w:val="00DE06F4"/>
    <w:rsid w:val="00DE0A88"/>
    <w:rsid w:val="00DE2ED3"/>
    <w:rsid w:val="00DE449A"/>
    <w:rsid w:val="00DE5F14"/>
    <w:rsid w:val="00DE65B2"/>
    <w:rsid w:val="00DE67B4"/>
    <w:rsid w:val="00DE7F7F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403"/>
    <w:rsid w:val="00E05FE3"/>
    <w:rsid w:val="00E06482"/>
    <w:rsid w:val="00E068C1"/>
    <w:rsid w:val="00E06A46"/>
    <w:rsid w:val="00E10967"/>
    <w:rsid w:val="00E1345E"/>
    <w:rsid w:val="00E14FDF"/>
    <w:rsid w:val="00E150B0"/>
    <w:rsid w:val="00E1692E"/>
    <w:rsid w:val="00E20ADF"/>
    <w:rsid w:val="00E21C4C"/>
    <w:rsid w:val="00E24FFC"/>
    <w:rsid w:val="00E25E7B"/>
    <w:rsid w:val="00E2648A"/>
    <w:rsid w:val="00E26B8D"/>
    <w:rsid w:val="00E324D6"/>
    <w:rsid w:val="00E349F6"/>
    <w:rsid w:val="00E35B10"/>
    <w:rsid w:val="00E35C94"/>
    <w:rsid w:val="00E40B07"/>
    <w:rsid w:val="00E40E8B"/>
    <w:rsid w:val="00E41083"/>
    <w:rsid w:val="00E41386"/>
    <w:rsid w:val="00E42DEC"/>
    <w:rsid w:val="00E43DA3"/>
    <w:rsid w:val="00E447E3"/>
    <w:rsid w:val="00E512BA"/>
    <w:rsid w:val="00E517A1"/>
    <w:rsid w:val="00E519E5"/>
    <w:rsid w:val="00E51C93"/>
    <w:rsid w:val="00E533E1"/>
    <w:rsid w:val="00E53987"/>
    <w:rsid w:val="00E53BEC"/>
    <w:rsid w:val="00E53F06"/>
    <w:rsid w:val="00E569A0"/>
    <w:rsid w:val="00E56D74"/>
    <w:rsid w:val="00E607A4"/>
    <w:rsid w:val="00E60925"/>
    <w:rsid w:val="00E6392E"/>
    <w:rsid w:val="00E63D98"/>
    <w:rsid w:val="00E6544D"/>
    <w:rsid w:val="00E663C8"/>
    <w:rsid w:val="00E6737B"/>
    <w:rsid w:val="00E70517"/>
    <w:rsid w:val="00E7086B"/>
    <w:rsid w:val="00E734D4"/>
    <w:rsid w:val="00E74D72"/>
    <w:rsid w:val="00E75257"/>
    <w:rsid w:val="00E760AC"/>
    <w:rsid w:val="00E8221A"/>
    <w:rsid w:val="00E82512"/>
    <w:rsid w:val="00E8652C"/>
    <w:rsid w:val="00E871ED"/>
    <w:rsid w:val="00E9049A"/>
    <w:rsid w:val="00E92687"/>
    <w:rsid w:val="00E92ED4"/>
    <w:rsid w:val="00E94B2B"/>
    <w:rsid w:val="00E95A3E"/>
    <w:rsid w:val="00E95F6D"/>
    <w:rsid w:val="00E95F88"/>
    <w:rsid w:val="00E96645"/>
    <w:rsid w:val="00EA11B4"/>
    <w:rsid w:val="00EA1B55"/>
    <w:rsid w:val="00EA226F"/>
    <w:rsid w:val="00EA63CB"/>
    <w:rsid w:val="00EA7878"/>
    <w:rsid w:val="00EB03F2"/>
    <w:rsid w:val="00EB738B"/>
    <w:rsid w:val="00EB768E"/>
    <w:rsid w:val="00EC3669"/>
    <w:rsid w:val="00ED04AC"/>
    <w:rsid w:val="00ED10FB"/>
    <w:rsid w:val="00ED2AEA"/>
    <w:rsid w:val="00ED2E6A"/>
    <w:rsid w:val="00ED392D"/>
    <w:rsid w:val="00ED4FAE"/>
    <w:rsid w:val="00ED63E6"/>
    <w:rsid w:val="00EE1053"/>
    <w:rsid w:val="00EE1156"/>
    <w:rsid w:val="00EE1666"/>
    <w:rsid w:val="00EE3F35"/>
    <w:rsid w:val="00EE414A"/>
    <w:rsid w:val="00EF5CFD"/>
    <w:rsid w:val="00EF78FF"/>
    <w:rsid w:val="00F00308"/>
    <w:rsid w:val="00F010EE"/>
    <w:rsid w:val="00F010EF"/>
    <w:rsid w:val="00F013F4"/>
    <w:rsid w:val="00F02E38"/>
    <w:rsid w:val="00F04118"/>
    <w:rsid w:val="00F04EA3"/>
    <w:rsid w:val="00F0518F"/>
    <w:rsid w:val="00F06118"/>
    <w:rsid w:val="00F06CC1"/>
    <w:rsid w:val="00F06D2B"/>
    <w:rsid w:val="00F073A2"/>
    <w:rsid w:val="00F101AF"/>
    <w:rsid w:val="00F12C51"/>
    <w:rsid w:val="00F13167"/>
    <w:rsid w:val="00F1337A"/>
    <w:rsid w:val="00F14D2A"/>
    <w:rsid w:val="00F1530F"/>
    <w:rsid w:val="00F15F2B"/>
    <w:rsid w:val="00F20103"/>
    <w:rsid w:val="00F21446"/>
    <w:rsid w:val="00F22959"/>
    <w:rsid w:val="00F22D8E"/>
    <w:rsid w:val="00F240A5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1AFA"/>
    <w:rsid w:val="00F42D54"/>
    <w:rsid w:val="00F431DD"/>
    <w:rsid w:val="00F43C5D"/>
    <w:rsid w:val="00F45D23"/>
    <w:rsid w:val="00F476CE"/>
    <w:rsid w:val="00F47D97"/>
    <w:rsid w:val="00F47E88"/>
    <w:rsid w:val="00F47FCA"/>
    <w:rsid w:val="00F503DC"/>
    <w:rsid w:val="00F52D67"/>
    <w:rsid w:val="00F53641"/>
    <w:rsid w:val="00F577F7"/>
    <w:rsid w:val="00F616FE"/>
    <w:rsid w:val="00F63B17"/>
    <w:rsid w:val="00F642E1"/>
    <w:rsid w:val="00F64730"/>
    <w:rsid w:val="00F65525"/>
    <w:rsid w:val="00F71642"/>
    <w:rsid w:val="00F71780"/>
    <w:rsid w:val="00F738BF"/>
    <w:rsid w:val="00F73C18"/>
    <w:rsid w:val="00F748E3"/>
    <w:rsid w:val="00F74EE1"/>
    <w:rsid w:val="00F75CB6"/>
    <w:rsid w:val="00F76A4C"/>
    <w:rsid w:val="00F76A70"/>
    <w:rsid w:val="00F7719A"/>
    <w:rsid w:val="00F8035F"/>
    <w:rsid w:val="00F81484"/>
    <w:rsid w:val="00F81708"/>
    <w:rsid w:val="00F82834"/>
    <w:rsid w:val="00F84E0F"/>
    <w:rsid w:val="00F85422"/>
    <w:rsid w:val="00F91007"/>
    <w:rsid w:val="00F918FC"/>
    <w:rsid w:val="00F96BB8"/>
    <w:rsid w:val="00FA3B28"/>
    <w:rsid w:val="00FA4BDE"/>
    <w:rsid w:val="00FA78A3"/>
    <w:rsid w:val="00FB0DF6"/>
    <w:rsid w:val="00FB148D"/>
    <w:rsid w:val="00FB185B"/>
    <w:rsid w:val="00FB1A43"/>
    <w:rsid w:val="00FB37C6"/>
    <w:rsid w:val="00FB4012"/>
    <w:rsid w:val="00FC095A"/>
    <w:rsid w:val="00FC133F"/>
    <w:rsid w:val="00FC13C8"/>
    <w:rsid w:val="00FC174D"/>
    <w:rsid w:val="00FC1CE0"/>
    <w:rsid w:val="00FC2108"/>
    <w:rsid w:val="00FC25A8"/>
    <w:rsid w:val="00FC2723"/>
    <w:rsid w:val="00FC3366"/>
    <w:rsid w:val="00FC4B73"/>
    <w:rsid w:val="00FC7986"/>
    <w:rsid w:val="00FD0781"/>
    <w:rsid w:val="00FD1C6C"/>
    <w:rsid w:val="00FD27B5"/>
    <w:rsid w:val="00FD2F5C"/>
    <w:rsid w:val="00FD4383"/>
    <w:rsid w:val="00FD442D"/>
    <w:rsid w:val="00FD514D"/>
    <w:rsid w:val="00FD529C"/>
    <w:rsid w:val="00FD5A51"/>
    <w:rsid w:val="00FD5ACC"/>
    <w:rsid w:val="00FD61D9"/>
    <w:rsid w:val="00FE2F62"/>
    <w:rsid w:val="00FE2F95"/>
    <w:rsid w:val="00FE470D"/>
    <w:rsid w:val="00FE7E4D"/>
    <w:rsid w:val="00FF02AA"/>
    <w:rsid w:val="00FF2301"/>
    <w:rsid w:val="00FF2E89"/>
    <w:rsid w:val="00FF51B1"/>
    <w:rsid w:val="00FF6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B008C3-5536-4BE9-AA68-D97AB2F3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uiPriority w:val="5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A38E56F55921411E89A2D5C56C2EAD335A4A2BE531D253B96A3A8FDFBA464CC6530DCDD4C391ABu8K6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strtarif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22685-A07E-4C80-AADA-4C1BE9BB6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1647</TotalTime>
  <Pages>6</Pages>
  <Words>1974</Words>
  <Characters>11256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13204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Оленина Екатерина Владимировна</cp:lastModifiedBy>
  <cp:revision>159</cp:revision>
  <cp:lastPrinted>2020-11-03T11:30:00Z</cp:lastPrinted>
  <dcterms:created xsi:type="dcterms:W3CDTF">2016-11-22T10:55:00Z</dcterms:created>
  <dcterms:modified xsi:type="dcterms:W3CDTF">2020-11-03T11:31:00Z</dcterms:modified>
</cp:coreProperties>
</file>